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5A109" w14:textId="789CBDD1" w:rsidR="000B24B4" w:rsidRPr="00C32B5B" w:rsidRDefault="000B24B4" w:rsidP="00C32B5B">
      <w:pPr>
        <w:spacing w:before="100" w:beforeAutospacing="1" w:after="100" w:afterAutospacing="1" w:line="240" w:lineRule="auto"/>
        <w:jc w:val="both"/>
        <w:rPr>
          <w:rFonts w:ascii="Times New Roman" w:eastAsia="Times New Roman" w:hAnsi="Times New Roman" w:cs="Times New Roman"/>
          <w:b/>
          <w:bCs/>
          <w:sz w:val="24"/>
          <w:szCs w:val="24"/>
          <w:u w:val="single"/>
          <w:lang w:eastAsia="es-AR"/>
        </w:rPr>
      </w:pPr>
      <w:r w:rsidRPr="00C32B5B">
        <w:rPr>
          <w:rFonts w:ascii="Times New Roman" w:eastAsia="Times New Roman" w:hAnsi="Times New Roman" w:cs="Times New Roman"/>
          <w:b/>
          <w:bCs/>
          <w:sz w:val="24"/>
          <w:szCs w:val="24"/>
          <w:u w:val="single"/>
          <w:lang w:eastAsia="es-AR"/>
        </w:rPr>
        <w:t>FALLO I: RIVERO NANCY NOEMI Y OTROS S/ INCIDENTE DE EXTINCIÓN DE LA ACCIÓN. TOCF MDP, 6/5/2026</w:t>
      </w:r>
    </w:p>
    <w:p w14:paraId="603BBC83" w14:textId="632795AB" w:rsidR="00011ECE" w:rsidRPr="00011ECE" w:rsidRDefault="000B24B4" w:rsidP="00011ECE">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E</w:t>
      </w:r>
      <w:r w:rsidR="00011ECE" w:rsidRPr="00011ECE">
        <w:rPr>
          <w:rFonts w:ascii="Times New Roman" w:eastAsia="Times New Roman" w:hAnsi="Times New Roman" w:cs="Times New Roman"/>
          <w:sz w:val="24"/>
          <w:szCs w:val="24"/>
          <w:lang w:eastAsia="es-AR"/>
        </w:rPr>
        <w:t>l tribunal analiza un planteo de extinción de la acción penal formulado por las defensas de Nancy Noemí Rivero, Ricardo Marcelo Teramo, Alan Marcelo Teramo Rivero y Viviana Beatriz Rivero, en el marco de una causa seguida por evasión tributaria simple del IVA y asociación ilícita fiscal.</w:t>
      </w:r>
    </w:p>
    <w:p w14:paraId="6EBBDF67" w14:textId="77777777" w:rsidR="00011ECE" w:rsidRPr="00011ECE" w:rsidRDefault="00011ECE" w:rsidP="00011ECE">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011ECE">
        <w:rPr>
          <w:rFonts w:ascii="Times New Roman" w:eastAsia="Times New Roman" w:hAnsi="Times New Roman" w:cs="Times New Roman"/>
          <w:b/>
          <w:bCs/>
          <w:sz w:val="36"/>
          <w:szCs w:val="36"/>
          <w:lang w:eastAsia="es-AR"/>
        </w:rPr>
        <w:t>1. Antecedentes fácticos y jurídicos</w:t>
      </w:r>
    </w:p>
    <w:p w14:paraId="38766F40"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t>a) Antecedentes fácticos</w:t>
      </w:r>
    </w:p>
    <w:p w14:paraId="3296B567" w14:textId="6A4EAD5D"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De acuerdo con la imputación contenida en el requerimiento de elevación a juicio, los acusados habrían integrado —al menos entre 200</w:t>
      </w:r>
      <w:r w:rsidR="0090241F">
        <w:rPr>
          <w:rFonts w:ascii="Times New Roman" w:eastAsia="Times New Roman" w:hAnsi="Times New Roman" w:cs="Times New Roman"/>
          <w:sz w:val="24"/>
          <w:szCs w:val="24"/>
          <w:lang w:eastAsia="es-AR"/>
        </w:rPr>
        <w:t>6</w:t>
      </w:r>
      <w:r w:rsidRPr="00011ECE">
        <w:rPr>
          <w:rFonts w:ascii="Times New Roman" w:eastAsia="Times New Roman" w:hAnsi="Times New Roman" w:cs="Times New Roman"/>
          <w:sz w:val="24"/>
          <w:szCs w:val="24"/>
          <w:lang w:eastAsia="es-AR"/>
        </w:rPr>
        <w:t xml:space="preserve"> y 201</w:t>
      </w:r>
      <w:r w:rsidR="0090241F">
        <w:rPr>
          <w:rFonts w:ascii="Times New Roman" w:eastAsia="Times New Roman" w:hAnsi="Times New Roman" w:cs="Times New Roman"/>
          <w:sz w:val="24"/>
          <w:szCs w:val="24"/>
          <w:lang w:eastAsia="es-AR"/>
        </w:rPr>
        <w:t>4</w:t>
      </w:r>
      <w:r w:rsidRPr="00011ECE">
        <w:rPr>
          <w:rFonts w:ascii="Times New Roman" w:eastAsia="Times New Roman" w:hAnsi="Times New Roman" w:cs="Times New Roman"/>
          <w:sz w:val="24"/>
          <w:szCs w:val="24"/>
          <w:lang w:eastAsia="es-AR"/>
        </w:rPr>
        <w:t xml:space="preserve">— una organización criminal destinada a cometer delitos tributarios. </w:t>
      </w:r>
    </w:p>
    <w:p w14:paraId="5ABA1160"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La acusación describió una estructura organizada en la que:</w:t>
      </w:r>
    </w:p>
    <w:p w14:paraId="2F396B5D" w14:textId="77777777" w:rsidR="00011ECE" w:rsidRPr="00011ECE" w:rsidRDefault="00011ECE" w:rsidP="00834AC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Nancy Rivero, Ricardo Teramo y José Luis </w:t>
      </w:r>
      <w:proofErr w:type="spellStart"/>
      <w:r w:rsidRPr="00011ECE">
        <w:rPr>
          <w:rFonts w:ascii="Times New Roman" w:eastAsia="Times New Roman" w:hAnsi="Times New Roman" w:cs="Times New Roman"/>
          <w:sz w:val="24"/>
          <w:szCs w:val="24"/>
          <w:lang w:eastAsia="es-AR"/>
        </w:rPr>
        <w:t>Gallinal</w:t>
      </w:r>
      <w:proofErr w:type="spellEnd"/>
      <w:r w:rsidRPr="00011ECE">
        <w:rPr>
          <w:rFonts w:ascii="Times New Roman" w:eastAsia="Times New Roman" w:hAnsi="Times New Roman" w:cs="Times New Roman"/>
          <w:sz w:val="24"/>
          <w:szCs w:val="24"/>
          <w:lang w:eastAsia="es-AR"/>
        </w:rPr>
        <w:t xml:space="preserve"> actuaban como jefes u organizadores; </w:t>
      </w:r>
    </w:p>
    <w:p w14:paraId="48D8A04F" w14:textId="77777777" w:rsidR="00011ECE" w:rsidRPr="00011ECE" w:rsidRDefault="00011ECE" w:rsidP="00834AC2">
      <w:pPr>
        <w:numPr>
          <w:ilvl w:val="0"/>
          <w:numId w:val="1"/>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Alan Teramo Rivero y Viviana Beatriz Rivero intervenían como miembros de la organización. </w:t>
      </w:r>
    </w:p>
    <w:p w14:paraId="398AC227"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Según la plataforma fáctica, la organización utilizaba personas físicas y jurídicas interpuestas para ocultar a los verdaderos responsables y beneficiarios de la explotación de diversos establecimientos comerciales vinculados a las marcas “Positivo” y “Ronny </w:t>
      </w:r>
      <w:proofErr w:type="spellStart"/>
      <w:r w:rsidRPr="00011ECE">
        <w:rPr>
          <w:rFonts w:ascii="Times New Roman" w:eastAsia="Times New Roman" w:hAnsi="Times New Roman" w:cs="Times New Roman"/>
          <w:sz w:val="24"/>
          <w:szCs w:val="24"/>
          <w:lang w:eastAsia="es-AR"/>
        </w:rPr>
        <w:t>Speak</w:t>
      </w:r>
      <w:proofErr w:type="spellEnd"/>
      <w:r w:rsidRPr="00011ECE">
        <w:rPr>
          <w:rFonts w:ascii="Times New Roman" w:eastAsia="Times New Roman" w:hAnsi="Times New Roman" w:cs="Times New Roman"/>
          <w:sz w:val="24"/>
          <w:szCs w:val="24"/>
          <w:lang w:eastAsia="es-AR"/>
        </w:rPr>
        <w:t xml:space="preserve"> House Bar”. </w:t>
      </w:r>
    </w:p>
    <w:p w14:paraId="1B4728A3"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El auto de elevación a juicio sostuvo que:</w:t>
      </w:r>
    </w:p>
    <w:p w14:paraId="13EEC039" w14:textId="77777777" w:rsidR="00011ECE" w:rsidRPr="00011ECE" w:rsidRDefault="00011ECE" w:rsidP="00834AC2">
      <w:pPr>
        <w:numPr>
          <w:ilvl w:val="0"/>
          <w:numId w:val="2"/>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se empleaban sociedades y personas insolventes o de difícil localización; </w:t>
      </w:r>
    </w:p>
    <w:p w14:paraId="4950F75D" w14:textId="77777777" w:rsidR="00011ECE" w:rsidRPr="00011ECE" w:rsidRDefault="00011ECE" w:rsidP="00834AC2">
      <w:pPr>
        <w:numPr>
          <w:ilvl w:val="0"/>
          <w:numId w:val="2"/>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existían omisiones en declaraciones impositivas; </w:t>
      </w:r>
    </w:p>
    <w:p w14:paraId="422E8E84" w14:textId="77777777" w:rsidR="00011ECE" w:rsidRPr="00011ECE" w:rsidRDefault="00011ECE" w:rsidP="00834AC2">
      <w:pPr>
        <w:numPr>
          <w:ilvl w:val="0"/>
          <w:numId w:val="2"/>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los pagos declarados resultaban incompatibles con el volumen real de actividad comercial desarrollada. </w:t>
      </w:r>
    </w:p>
    <w:p w14:paraId="0F1E2EBB"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En ese contexto, a los imputados se les atribuyó:</w:t>
      </w:r>
    </w:p>
    <w:p w14:paraId="13F36812" w14:textId="77777777" w:rsidR="00011ECE" w:rsidRPr="00011ECE" w:rsidRDefault="00011ECE" w:rsidP="00834AC2">
      <w:pPr>
        <w:numPr>
          <w:ilvl w:val="0"/>
          <w:numId w:val="3"/>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evasión tributaria simple del IVA correspondiente al período fiscal 2014; </w:t>
      </w:r>
    </w:p>
    <w:p w14:paraId="7BEC2D7D" w14:textId="77777777" w:rsidR="00011ECE" w:rsidRPr="00011ECE" w:rsidRDefault="00011ECE" w:rsidP="00834AC2">
      <w:pPr>
        <w:numPr>
          <w:ilvl w:val="0"/>
          <w:numId w:val="3"/>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asociación ilícita fiscal del art. 15 inc. c) del Régimen Penal Tributario. </w:t>
      </w:r>
    </w:p>
    <w:p w14:paraId="2E9A0208"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Respecto del hecho de evasión, el monto presuntamente evadido ascendía a $ 1.979.321,15. </w:t>
      </w:r>
    </w:p>
    <w:p w14:paraId="654CBCDA" w14:textId="77777777" w:rsidR="00011ECE" w:rsidRPr="00011ECE" w:rsidRDefault="004008F7" w:rsidP="00011ECE">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AF0721A">
          <v:rect id="_x0000_i1025" style="width:0;height:1.5pt" o:hralign="center" o:hrstd="t" o:hr="t" fillcolor="#a0a0a0" stroked="f"/>
        </w:pict>
      </w:r>
    </w:p>
    <w:p w14:paraId="4BF5F021"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t>b) Antecedentes jurídicos</w:t>
      </w:r>
    </w:p>
    <w:p w14:paraId="350A0246"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lastRenderedPageBreak/>
        <w:t xml:space="preserve">La defensa solicitó el sobreseimiento de sus asistidos sosteniendo que la sociedad involucrada se había acogido válidamente al régimen de regularización previsto en la Ley 27.743. </w:t>
      </w:r>
    </w:p>
    <w:p w14:paraId="5C05FA90"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Argumentó que:</w:t>
      </w:r>
    </w:p>
    <w:p w14:paraId="6C6A5CEC" w14:textId="77777777" w:rsidR="00011ECE" w:rsidRPr="00011ECE" w:rsidRDefault="00011ECE" w:rsidP="00834AC2">
      <w:pPr>
        <w:numPr>
          <w:ilvl w:val="0"/>
          <w:numId w:val="4"/>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plan de regularización había sido aceptado por ARCA; </w:t>
      </w:r>
    </w:p>
    <w:p w14:paraId="477BB82E" w14:textId="77777777" w:rsidR="00011ECE" w:rsidRPr="00011ECE" w:rsidRDefault="00011ECE" w:rsidP="00834AC2">
      <w:pPr>
        <w:numPr>
          <w:ilvl w:val="0"/>
          <w:numId w:val="4"/>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contribuyente no se encontraba comprendida en las exclusiones legales; </w:t>
      </w:r>
    </w:p>
    <w:p w14:paraId="70558CA8" w14:textId="77777777" w:rsidR="00011ECE" w:rsidRPr="00011ECE" w:rsidRDefault="00011ECE" w:rsidP="00834AC2">
      <w:pPr>
        <w:numPr>
          <w:ilvl w:val="0"/>
          <w:numId w:val="4"/>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deuda tributaria había sido íntegramente cancelada mediante el plan de pagos. </w:t>
      </w:r>
    </w:p>
    <w:p w14:paraId="1D0201F8"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La defensa sostuvo además que:</w:t>
      </w:r>
    </w:p>
    <w:p w14:paraId="71124129" w14:textId="77777777" w:rsidR="00011ECE" w:rsidRPr="00011ECE" w:rsidRDefault="00011ECE" w:rsidP="00834AC2">
      <w:pPr>
        <w:numPr>
          <w:ilvl w:val="0"/>
          <w:numId w:val="5"/>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Ley 27.743 implicaba una modificación más benigna de las condiciones objetivas de punibilidad; </w:t>
      </w:r>
    </w:p>
    <w:p w14:paraId="645AB954" w14:textId="77777777" w:rsidR="00011ECE" w:rsidRPr="00011ECE" w:rsidRDefault="00011ECE" w:rsidP="00834AC2">
      <w:pPr>
        <w:numPr>
          <w:ilvl w:val="0"/>
          <w:numId w:val="5"/>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nuevo umbral legal tornaba atípica la evasión imputada; </w:t>
      </w:r>
    </w:p>
    <w:p w14:paraId="0784BA0A" w14:textId="77777777" w:rsidR="00011ECE" w:rsidRPr="00011ECE" w:rsidRDefault="00011ECE" w:rsidP="00834AC2">
      <w:pPr>
        <w:numPr>
          <w:ilvl w:val="0"/>
          <w:numId w:val="5"/>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correspondía aplicar el art. 2 del Código Penal y la doctrina de la ley penal más benigna. </w:t>
      </w:r>
    </w:p>
    <w:p w14:paraId="09E1C20A"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Invocó, entre otros precedentes, los fallos “Vidal”, “</w:t>
      </w:r>
      <w:proofErr w:type="spellStart"/>
      <w:r w:rsidRPr="00011ECE">
        <w:rPr>
          <w:rFonts w:ascii="Times New Roman" w:eastAsia="Times New Roman" w:hAnsi="Times New Roman" w:cs="Times New Roman"/>
          <w:sz w:val="24"/>
          <w:szCs w:val="24"/>
          <w:lang w:eastAsia="es-AR"/>
        </w:rPr>
        <w:t>Cristalux</w:t>
      </w:r>
      <w:proofErr w:type="spellEnd"/>
      <w:r w:rsidRPr="00011ECE">
        <w:rPr>
          <w:rFonts w:ascii="Times New Roman" w:eastAsia="Times New Roman" w:hAnsi="Times New Roman" w:cs="Times New Roman"/>
          <w:sz w:val="24"/>
          <w:szCs w:val="24"/>
          <w:lang w:eastAsia="es-AR"/>
        </w:rPr>
        <w:t xml:space="preserve">” y “Palero” de la Corte Suprema. </w:t>
      </w:r>
    </w:p>
    <w:p w14:paraId="34DDBA26"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Por otra parte, la defensa sostuvo que, si los delitos tributarios dejaban de ser punibles, desaparecía también el sustento típico de la asociación ilícita fiscal, invocando la doctrina del fallo “Poses” de la Cámara Federal de Casación Penal. </w:t>
      </w:r>
    </w:p>
    <w:p w14:paraId="393B0657" w14:textId="77777777" w:rsidR="00011ECE" w:rsidRPr="00011ECE" w:rsidRDefault="00011ECE" w:rsidP="00011ECE">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011ECE">
        <w:rPr>
          <w:rFonts w:ascii="Times New Roman" w:eastAsia="Times New Roman" w:hAnsi="Times New Roman" w:cs="Times New Roman"/>
          <w:b/>
          <w:bCs/>
          <w:sz w:val="36"/>
          <w:szCs w:val="36"/>
          <w:lang w:eastAsia="es-AR"/>
        </w:rPr>
        <w:t xml:space="preserve">2. </w:t>
      </w:r>
      <w:proofErr w:type="spellStart"/>
      <w:r w:rsidRPr="00011ECE">
        <w:rPr>
          <w:rFonts w:ascii="Times New Roman" w:eastAsia="Times New Roman" w:hAnsi="Times New Roman" w:cs="Times New Roman"/>
          <w:b/>
          <w:bCs/>
          <w:sz w:val="36"/>
          <w:szCs w:val="36"/>
          <w:lang w:eastAsia="es-AR"/>
        </w:rPr>
        <w:t>Merituación</w:t>
      </w:r>
      <w:proofErr w:type="spellEnd"/>
      <w:r w:rsidRPr="00011ECE">
        <w:rPr>
          <w:rFonts w:ascii="Times New Roman" w:eastAsia="Times New Roman" w:hAnsi="Times New Roman" w:cs="Times New Roman"/>
          <w:b/>
          <w:bCs/>
          <w:sz w:val="36"/>
          <w:szCs w:val="36"/>
          <w:lang w:eastAsia="es-AR"/>
        </w:rPr>
        <w:t xml:space="preserve"> de las posturas de las partes</w:t>
      </w:r>
    </w:p>
    <w:p w14:paraId="286F1CD6"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t>a) Postura de la defensa</w:t>
      </w:r>
    </w:p>
    <w:p w14:paraId="49B2006E"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La defensa articuló dos líneas argumentales principales.</w:t>
      </w:r>
    </w:p>
    <w:p w14:paraId="4CC748C3" w14:textId="77777777" w:rsidR="00011ECE" w:rsidRPr="00011ECE" w:rsidRDefault="00011ECE" w:rsidP="00011ECE">
      <w:pPr>
        <w:spacing w:before="100" w:beforeAutospacing="1" w:after="100" w:afterAutospacing="1" w:line="240" w:lineRule="auto"/>
        <w:outlineLvl w:val="3"/>
        <w:rPr>
          <w:rFonts w:ascii="Times New Roman" w:eastAsia="Times New Roman" w:hAnsi="Times New Roman" w:cs="Times New Roman"/>
          <w:b/>
          <w:bCs/>
          <w:sz w:val="24"/>
          <w:szCs w:val="24"/>
          <w:lang w:eastAsia="es-AR"/>
        </w:rPr>
      </w:pPr>
      <w:r w:rsidRPr="00011ECE">
        <w:rPr>
          <w:rFonts w:ascii="Times New Roman" w:eastAsia="Times New Roman" w:hAnsi="Times New Roman" w:cs="Times New Roman"/>
          <w:b/>
          <w:bCs/>
          <w:sz w:val="24"/>
          <w:szCs w:val="24"/>
          <w:lang w:eastAsia="es-AR"/>
        </w:rPr>
        <w:t>i. Extinción de la acción penal por evasión tributaria</w:t>
      </w:r>
    </w:p>
    <w:p w14:paraId="143F41A6"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Sostuvo que:</w:t>
      </w:r>
    </w:p>
    <w:p w14:paraId="59C64ADB" w14:textId="77777777" w:rsidR="00011ECE" w:rsidRPr="00011ECE" w:rsidRDefault="00011ECE" w:rsidP="00834AC2">
      <w:pPr>
        <w:numPr>
          <w:ilvl w:val="0"/>
          <w:numId w:val="6"/>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monto atribuido ($ 1.979.321,15) no superaba los nuevos umbrales legales; </w:t>
      </w:r>
    </w:p>
    <w:p w14:paraId="27328D53" w14:textId="77777777" w:rsidR="00011ECE" w:rsidRPr="00011ECE" w:rsidRDefault="00011ECE" w:rsidP="00834AC2">
      <w:pPr>
        <w:numPr>
          <w:ilvl w:val="0"/>
          <w:numId w:val="6"/>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Ley 27.743 debía aplicarse retroactivamente por resultar más benigna; </w:t>
      </w:r>
    </w:p>
    <w:p w14:paraId="596473DB" w14:textId="77777777" w:rsidR="00011ECE" w:rsidRPr="00011ECE" w:rsidRDefault="00011ECE" w:rsidP="00834AC2">
      <w:pPr>
        <w:numPr>
          <w:ilvl w:val="0"/>
          <w:numId w:val="6"/>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regularización y cancelación de la deuda extinguían la acción penal. </w:t>
      </w:r>
    </w:p>
    <w:p w14:paraId="7DBD7611" w14:textId="77777777" w:rsidR="00011ECE" w:rsidRPr="00011ECE" w:rsidRDefault="00011ECE" w:rsidP="00011ECE">
      <w:pPr>
        <w:spacing w:before="100" w:beforeAutospacing="1" w:after="100" w:afterAutospacing="1" w:line="240" w:lineRule="auto"/>
        <w:outlineLvl w:val="3"/>
        <w:rPr>
          <w:rFonts w:ascii="Times New Roman" w:eastAsia="Times New Roman" w:hAnsi="Times New Roman" w:cs="Times New Roman"/>
          <w:b/>
          <w:bCs/>
          <w:sz w:val="24"/>
          <w:szCs w:val="24"/>
          <w:lang w:eastAsia="es-AR"/>
        </w:rPr>
      </w:pPr>
      <w:proofErr w:type="spellStart"/>
      <w:r w:rsidRPr="00011ECE">
        <w:rPr>
          <w:rFonts w:ascii="Times New Roman" w:eastAsia="Times New Roman" w:hAnsi="Times New Roman" w:cs="Times New Roman"/>
          <w:b/>
          <w:bCs/>
          <w:sz w:val="24"/>
          <w:szCs w:val="24"/>
          <w:lang w:eastAsia="es-AR"/>
        </w:rPr>
        <w:t>ii</w:t>
      </w:r>
      <w:proofErr w:type="spellEnd"/>
      <w:r w:rsidRPr="00011ECE">
        <w:rPr>
          <w:rFonts w:ascii="Times New Roman" w:eastAsia="Times New Roman" w:hAnsi="Times New Roman" w:cs="Times New Roman"/>
          <w:b/>
          <w:bCs/>
          <w:sz w:val="24"/>
          <w:szCs w:val="24"/>
          <w:lang w:eastAsia="es-AR"/>
        </w:rPr>
        <w:t>. Atipicidad sobreviniente de la asociación ilícita fiscal</w:t>
      </w:r>
    </w:p>
    <w:p w14:paraId="68675E63"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defensa argumentó que, al desaparecer los delitos tributarios objetivamente imputables, también desaparecía el presupuesto típico de la asociación ilícita fiscal. </w:t>
      </w:r>
    </w:p>
    <w:p w14:paraId="609CF1AD"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Según esta postura, la inexistencia de delitos tributarios perseguibles impedía sostener la configuración del art. 15 inc. c) del Régimen Penal Tributario.</w:t>
      </w:r>
    </w:p>
    <w:p w14:paraId="7FF06165" w14:textId="77777777" w:rsidR="00011ECE" w:rsidRPr="00011ECE" w:rsidRDefault="004008F7" w:rsidP="00011ECE">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455608D7">
          <v:rect id="_x0000_i1026" style="width:0;height:1.5pt" o:hralign="center" o:hrstd="t" o:hr="t" fillcolor="#a0a0a0" stroked="f"/>
        </w:pict>
      </w:r>
    </w:p>
    <w:p w14:paraId="43D560F1"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lastRenderedPageBreak/>
        <w:t>b) Postura de la querella (ARCA)</w:t>
      </w:r>
    </w:p>
    <w:p w14:paraId="6BF4E420"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querella no formuló oposición respecto del pedido de extinción de la acción penal por evasión tributaria simple. </w:t>
      </w:r>
    </w:p>
    <w:p w14:paraId="2CE09304"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Reconoció que:</w:t>
      </w:r>
    </w:p>
    <w:p w14:paraId="3E74CFCD" w14:textId="77777777" w:rsidR="00011ECE" w:rsidRPr="00011ECE" w:rsidRDefault="00011ECE" w:rsidP="00834AC2">
      <w:pPr>
        <w:numPr>
          <w:ilvl w:val="0"/>
          <w:numId w:val="7"/>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modificación legislativa elevó los montos mínimos de punibilidad; </w:t>
      </w:r>
    </w:p>
    <w:p w14:paraId="2254D307" w14:textId="77777777" w:rsidR="00011ECE" w:rsidRPr="00011ECE" w:rsidRDefault="00011ECE" w:rsidP="00834AC2">
      <w:pPr>
        <w:numPr>
          <w:ilvl w:val="0"/>
          <w:numId w:val="7"/>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hecho atribuido había dejado de ser perseguible penalmente; </w:t>
      </w:r>
    </w:p>
    <w:p w14:paraId="2B306812" w14:textId="77777777" w:rsidR="00011ECE" w:rsidRPr="00011ECE" w:rsidRDefault="00011ECE" w:rsidP="00834AC2">
      <w:pPr>
        <w:numPr>
          <w:ilvl w:val="0"/>
          <w:numId w:val="7"/>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correspondía aplicar el principio de ley penal más benigna. </w:t>
      </w:r>
    </w:p>
    <w:p w14:paraId="7B153AAD"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Sin embargo, respecto de la asociación ilícita fiscal sostuvo que:</w:t>
      </w:r>
    </w:p>
    <w:p w14:paraId="7878EB44" w14:textId="77777777" w:rsidR="00011ECE" w:rsidRPr="00011ECE" w:rsidRDefault="00011ECE" w:rsidP="00834AC2">
      <w:pPr>
        <w:numPr>
          <w:ilvl w:val="0"/>
          <w:numId w:val="8"/>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se trata de una figura autónoma; </w:t>
      </w:r>
    </w:p>
    <w:p w14:paraId="51E6899C" w14:textId="77777777" w:rsidR="00011ECE" w:rsidRPr="00011ECE" w:rsidRDefault="00011ECE" w:rsidP="00834AC2">
      <w:pPr>
        <w:numPr>
          <w:ilvl w:val="0"/>
          <w:numId w:val="8"/>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protege el orden público; </w:t>
      </w:r>
    </w:p>
    <w:p w14:paraId="143A13E5" w14:textId="77777777" w:rsidR="00011ECE" w:rsidRPr="00011ECE" w:rsidRDefault="00011ECE" w:rsidP="00834AC2">
      <w:pPr>
        <w:numPr>
          <w:ilvl w:val="0"/>
          <w:numId w:val="8"/>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se consuma con la mera conformación de la organización; </w:t>
      </w:r>
    </w:p>
    <w:p w14:paraId="1319F317" w14:textId="77777777" w:rsidR="00011ECE" w:rsidRPr="00011ECE" w:rsidRDefault="00011ECE" w:rsidP="00834AC2">
      <w:pPr>
        <w:numPr>
          <w:ilvl w:val="0"/>
          <w:numId w:val="8"/>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no depende de la efectiva consumación del delito tributario final. </w:t>
      </w:r>
    </w:p>
    <w:p w14:paraId="658F63FD"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querella afirmó además que aceptar la tesis defensiva implicaría transformar la asociación ilícita fiscal en un delito accesorio y extender analógicamente una causal excepcional de extinción penal. </w:t>
      </w:r>
    </w:p>
    <w:p w14:paraId="48FBC850" w14:textId="77777777" w:rsidR="00011ECE" w:rsidRPr="00011ECE" w:rsidRDefault="004008F7" w:rsidP="00011ECE">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109DFF31">
          <v:rect id="_x0000_i1027" style="width:0;height:1.5pt" o:hralign="center" o:hrstd="t" o:hr="t" fillcolor="#a0a0a0" stroked="f"/>
        </w:pict>
      </w:r>
    </w:p>
    <w:p w14:paraId="7E407203"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t>c) Postura del Ministerio Público Fiscal</w:t>
      </w:r>
    </w:p>
    <w:p w14:paraId="0962CBD6"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Ministerio Público Fiscal coincidió sustancialmente con la postura de ARCA. </w:t>
      </w:r>
    </w:p>
    <w:p w14:paraId="2E329634"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Respecto de la evasión simple:</w:t>
      </w:r>
    </w:p>
    <w:p w14:paraId="65B90AFA" w14:textId="77777777" w:rsidR="00011ECE" w:rsidRPr="00011ECE" w:rsidRDefault="00011ECE" w:rsidP="00834AC2">
      <w:pPr>
        <w:numPr>
          <w:ilvl w:val="0"/>
          <w:numId w:val="9"/>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aceptó que el monto imputado no superaba el nuevo umbral legal; </w:t>
      </w:r>
    </w:p>
    <w:p w14:paraId="06E6FA9B" w14:textId="77777777" w:rsidR="00011ECE" w:rsidRPr="00011ECE" w:rsidRDefault="00011ECE" w:rsidP="00834AC2">
      <w:pPr>
        <w:numPr>
          <w:ilvl w:val="0"/>
          <w:numId w:val="9"/>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sostuvo que correspondía declarar extinguida la acción penal por aplicación de la ley penal más benigna. </w:t>
      </w:r>
    </w:p>
    <w:p w14:paraId="6628C15B"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Respecto de la asociación ilícita fiscal:</w:t>
      </w:r>
    </w:p>
    <w:p w14:paraId="448EB0FA" w14:textId="77777777" w:rsidR="00011ECE" w:rsidRPr="00011ECE" w:rsidRDefault="00011ECE" w:rsidP="00834A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sostuvo que la autonomía típica de la figura impedía extender automáticamente los efectos extintivos; </w:t>
      </w:r>
    </w:p>
    <w:p w14:paraId="31283665" w14:textId="77777777" w:rsidR="00011ECE" w:rsidRPr="00011ECE" w:rsidRDefault="00011ECE" w:rsidP="00834AC2">
      <w:pPr>
        <w:numPr>
          <w:ilvl w:val="0"/>
          <w:numId w:val="10"/>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afirmó que la desaparición del delito tributario no eliminaba la tipicidad ni la punibilidad de la asociación ilícita fiscal. </w:t>
      </w:r>
    </w:p>
    <w:p w14:paraId="6EBB96C8" w14:textId="77777777" w:rsidR="00011ECE" w:rsidRPr="00011ECE" w:rsidRDefault="00011ECE" w:rsidP="00011ECE">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011ECE">
        <w:rPr>
          <w:rFonts w:ascii="Times New Roman" w:eastAsia="Times New Roman" w:hAnsi="Times New Roman" w:cs="Times New Roman"/>
          <w:b/>
          <w:bCs/>
          <w:sz w:val="36"/>
          <w:szCs w:val="36"/>
          <w:lang w:eastAsia="es-AR"/>
        </w:rPr>
        <w:t>3. Posición adoptada por el tribunal</w:t>
      </w:r>
    </w:p>
    <w:p w14:paraId="2D946B8C"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El tribunal efectuó una diferenciación tajante entre el delito de evasión tributaria simple y el delito de asociación ilícita fiscal.</w:t>
      </w:r>
    </w:p>
    <w:p w14:paraId="31EE9B20" w14:textId="77777777" w:rsidR="00011ECE" w:rsidRPr="00011ECE" w:rsidRDefault="004008F7" w:rsidP="00011ECE">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1853C189">
          <v:rect id="_x0000_i1028" style="width:0;height:1.5pt" o:hralign="center" o:hrstd="t" o:hr="t" fillcolor="#a0a0a0" stroked="f"/>
        </w:pict>
      </w:r>
    </w:p>
    <w:p w14:paraId="29C1D61F"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t>a) Resolución respecto de la evasión tributaria simple</w:t>
      </w:r>
    </w:p>
    <w:p w14:paraId="0C401F48"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lastRenderedPageBreak/>
        <w:t xml:space="preserve">El tribunal hizo lugar al planteo defensivo. </w:t>
      </w:r>
    </w:p>
    <w:p w14:paraId="12FCD398"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Consideró acreditado que:</w:t>
      </w:r>
    </w:p>
    <w:p w14:paraId="084E17CF" w14:textId="77777777" w:rsidR="00011ECE" w:rsidRPr="00011ECE" w:rsidRDefault="00011ECE" w:rsidP="00834A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Ley 27.743 resultaba más benigna; </w:t>
      </w:r>
    </w:p>
    <w:p w14:paraId="36F40C68" w14:textId="77777777" w:rsidR="00011ECE" w:rsidRPr="00011ECE" w:rsidRDefault="00011ECE" w:rsidP="00834A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monto imputado de $ 1.979.321,15 no superaba el nuevo mínimo legal; </w:t>
      </w:r>
    </w:p>
    <w:p w14:paraId="4B8CD210" w14:textId="77777777" w:rsidR="00011ECE" w:rsidRPr="00011ECE" w:rsidRDefault="00011ECE" w:rsidP="00834AC2">
      <w:pPr>
        <w:numPr>
          <w:ilvl w:val="0"/>
          <w:numId w:val="11"/>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correspondía aplicar el art. 2 del Código Penal. </w:t>
      </w:r>
    </w:p>
    <w:p w14:paraId="7463994F"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El tribunal desarrolló extensamente el principio constitucional de legalidad y de ley penal más benigna, citando:</w:t>
      </w:r>
    </w:p>
    <w:p w14:paraId="2BFD6250" w14:textId="77777777" w:rsidR="00011ECE" w:rsidRPr="00011ECE" w:rsidRDefault="00011ECE" w:rsidP="00834A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los arts. 18 y 19 de la Constitución Nacional; </w:t>
      </w:r>
    </w:p>
    <w:p w14:paraId="32B15F38" w14:textId="77777777" w:rsidR="00011ECE" w:rsidRPr="00011ECE" w:rsidRDefault="00011ECE" w:rsidP="00834A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art. 2 del Código Penal; </w:t>
      </w:r>
    </w:p>
    <w:p w14:paraId="599EBE1C" w14:textId="77777777" w:rsidR="00011ECE" w:rsidRPr="00011ECE" w:rsidRDefault="00011ECE" w:rsidP="00834AC2">
      <w:pPr>
        <w:numPr>
          <w:ilvl w:val="0"/>
          <w:numId w:val="12"/>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la jurisprudencia de la Corte Suprema en “Palero”, “</w:t>
      </w:r>
      <w:proofErr w:type="spellStart"/>
      <w:r w:rsidRPr="00011ECE">
        <w:rPr>
          <w:rFonts w:ascii="Times New Roman" w:eastAsia="Times New Roman" w:hAnsi="Times New Roman" w:cs="Times New Roman"/>
          <w:sz w:val="24"/>
          <w:szCs w:val="24"/>
          <w:lang w:eastAsia="es-AR"/>
        </w:rPr>
        <w:t>Cristalux</w:t>
      </w:r>
      <w:proofErr w:type="spellEnd"/>
      <w:r w:rsidRPr="00011ECE">
        <w:rPr>
          <w:rFonts w:ascii="Times New Roman" w:eastAsia="Times New Roman" w:hAnsi="Times New Roman" w:cs="Times New Roman"/>
          <w:sz w:val="24"/>
          <w:szCs w:val="24"/>
          <w:lang w:eastAsia="es-AR"/>
        </w:rPr>
        <w:t xml:space="preserve">” y “Vidal”. </w:t>
      </w:r>
    </w:p>
    <w:p w14:paraId="39F01F0D"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Con fundamento en ello declaró extinguida la acción penal por evasión tributaria simple del IVA correspondiente al período fiscal 2014 respecto de todos los imputados. </w:t>
      </w:r>
    </w:p>
    <w:p w14:paraId="4BE3F842" w14:textId="77777777" w:rsidR="00011ECE" w:rsidRPr="00011ECE" w:rsidRDefault="004008F7" w:rsidP="00011ECE">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60346A3A">
          <v:rect id="_x0000_i1029" style="width:0;height:1.5pt" o:hralign="center" o:hrstd="t" o:hr="t" fillcolor="#a0a0a0" stroked="f"/>
        </w:pict>
      </w:r>
    </w:p>
    <w:p w14:paraId="03B7E135" w14:textId="77777777" w:rsidR="00011ECE" w:rsidRPr="00011ECE" w:rsidRDefault="00011ECE" w:rsidP="00011ECE">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011ECE">
        <w:rPr>
          <w:rFonts w:ascii="Times New Roman" w:eastAsia="Times New Roman" w:hAnsi="Times New Roman" w:cs="Times New Roman"/>
          <w:b/>
          <w:bCs/>
          <w:sz w:val="27"/>
          <w:szCs w:val="27"/>
          <w:lang w:eastAsia="es-AR"/>
        </w:rPr>
        <w:t>b) Resolución respecto de la asociación ilícita fiscal</w:t>
      </w:r>
    </w:p>
    <w:p w14:paraId="404770F1"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tribunal rechazó el pedido de sobreseimiento respecto del delito de asociación ilícita fiscal. </w:t>
      </w:r>
    </w:p>
    <w:p w14:paraId="0FC49A5B"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Sostuvo que:</w:t>
      </w:r>
    </w:p>
    <w:p w14:paraId="04624F82" w14:textId="77777777" w:rsidR="00011ECE" w:rsidRPr="00011ECE" w:rsidRDefault="00011ECE" w:rsidP="00834A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asociación ilícita fiscal constituye un delito autónomo; </w:t>
      </w:r>
    </w:p>
    <w:p w14:paraId="4A90D56A" w14:textId="77777777" w:rsidR="00011ECE" w:rsidRPr="00011ECE" w:rsidRDefault="00011ECE" w:rsidP="00834A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no requiere la consumación efectiva de delitos tributarios; </w:t>
      </w:r>
    </w:p>
    <w:p w14:paraId="31581D46" w14:textId="77777777" w:rsidR="00011ECE" w:rsidRPr="00011ECE" w:rsidRDefault="00011ECE" w:rsidP="00834AC2">
      <w:pPr>
        <w:numPr>
          <w:ilvl w:val="0"/>
          <w:numId w:val="13"/>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basta la existencia de una organización estable destinada a cometer delitos tributarios. </w:t>
      </w:r>
    </w:p>
    <w:p w14:paraId="1C67D123"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El tribunal entendió que:</w:t>
      </w:r>
    </w:p>
    <w:p w14:paraId="55CEE2DC" w14:textId="77777777" w:rsidR="00011ECE" w:rsidRPr="00011ECE" w:rsidRDefault="00011ECE" w:rsidP="00834AC2">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régimen de regularización fiscal no alcanza a esta figura; </w:t>
      </w:r>
    </w:p>
    <w:p w14:paraId="7CE20622" w14:textId="77777777" w:rsidR="00011ECE" w:rsidRPr="00011ECE" w:rsidRDefault="00011ECE" w:rsidP="00834AC2">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el delito posee una naturaleza compleja y un bien jurídico diferenciado; </w:t>
      </w:r>
    </w:p>
    <w:p w14:paraId="06123BFE" w14:textId="77777777" w:rsidR="00011ECE" w:rsidRPr="00011ECE" w:rsidRDefault="00011ECE" w:rsidP="00834AC2">
      <w:pPr>
        <w:numPr>
          <w:ilvl w:val="0"/>
          <w:numId w:val="14"/>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la discusión sobre la efectiva existencia de la organización criminal debía ser objeto del debate oral. </w:t>
      </w:r>
    </w:p>
    <w:p w14:paraId="049439A6"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Asimismo, sostuvo que la plataforma fáctica descripta en la elevación a juicio permitía advertir, prima facie, una estructura organizada, estable y con división funcional de roles, suficiente para mantener vigente la acusación por asociación ilícita fiscal. </w:t>
      </w:r>
    </w:p>
    <w:p w14:paraId="45743586" w14:textId="77777777" w:rsidR="00011ECE" w:rsidRPr="00011ECE" w:rsidRDefault="00011ECE" w:rsidP="00011ECE">
      <w:p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En consecuencia, el tribunal:</w:t>
      </w:r>
    </w:p>
    <w:p w14:paraId="16363391" w14:textId="77777777" w:rsidR="00011ECE" w:rsidRPr="00011ECE" w:rsidRDefault="00011ECE" w:rsidP="00834A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declaró extinguida la acción penal respecto del delito de evasión tributaria simple del IVA 2014; </w:t>
      </w:r>
    </w:p>
    <w:p w14:paraId="38650C01" w14:textId="77777777" w:rsidR="00011ECE" w:rsidRPr="00011ECE" w:rsidRDefault="00011ECE" w:rsidP="00834AC2">
      <w:pPr>
        <w:numPr>
          <w:ilvl w:val="0"/>
          <w:numId w:val="15"/>
        </w:numPr>
        <w:spacing w:before="100" w:beforeAutospacing="1" w:after="100" w:afterAutospacing="1" w:line="240" w:lineRule="auto"/>
        <w:rPr>
          <w:rFonts w:ascii="Times New Roman" w:eastAsia="Times New Roman" w:hAnsi="Times New Roman" w:cs="Times New Roman"/>
          <w:sz w:val="24"/>
          <w:szCs w:val="24"/>
          <w:lang w:eastAsia="es-AR"/>
        </w:rPr>
      </w:pPr>
      <w:r w:rsidRPr="00011ECE">
        <w:rPr>
          <w:rFonts w:ascii="Times New Roman" w:eastAsia="Times New Roman" w:hAnsi="Times New Roman" w:cs="Times New Roman"/>
          <w:sz w:val="24"/>
          <w:szCs w:val="24"/>
          <w:lang w:eastAsia="es-AR"/>
        </w:rPr>
        <w:t xml:space="preserve">mantuvo la persecución penal respecto de la asociación ilícita fiscal del art. 15 inc. c) del Régimen Penal Tributario. </w:t>
      </w:r>
    </w:p>
    <w:p w14:paraId="1C8676A6" w14:textId="3B3E6989" w:rsidR="00011ECE" w:rsidRPr="00394A81" w:rsidRDefault="00C32B5B" w:rsidP="00394A81">
      <w:pPr>
        <w:jc w:val="both"/>
        <w:rPr>
          <w:rFonts w:ascii="Times New Roman" w:hAnsi="Times New Roman" w:cs="Times New Roman"/>
          <w:b/>
          <w:bCs/>
          <w:sz w:val="24"/>
          <w:szCs w:val="24"/>
          <w:u w:val="single"/>
        </w:rPr>
      </w:pPr>
      <w:r w:rsidRPr="00394A81">
        <w:rPr>
          <w:rFonts w:ascii="Times New Roman" w:hAnsi="Times New Roman" w:cs="Times New Roman"/>
          <w:b/>
          <w:bCs/>
          <w:sz w:val="24"/>
          <w:szCs w:val="24"/>
          <w:u w:val="single"/>
        </w:rPr>
        <w:lastRenderedPageBreak/>
        <w:t xml:space="preserve">FALLO II. LEGAJO DE APELACIÓN DE VEGETALES PROCESADOS PATAGÓNICOS S.R.L. </w:t>
      </w:r>
      <w:r w:rsidRPr="00394A81">
        <w:rPr>
          <w:rFonts w:ascii="Times New Roman" w:eastAsia="Times New Roman" w:hAnsi="Times New Roman" w:cs="Times New Roman"/>
          <w:b/>
          <w:bCs/>
          <w:sz w:val="24"/>
          <w:szCs w:val="24"/>
          <w:u w:val="single"/>
          <w:lang w:eastAsia="es-AR"/>
        </w:rPr>
        <w:t>Cámara Federal de General Roca. 04/05/2026</w:t>
      </w:r>
    </w:p>
    <w:p w14:paraId="1CF89B08" w14:textId="2CA9434D" w:rsidR="0090241F" w:rsidRPr="0090241F" w:rsidRDefault="00C32B5B" w:rsidP="0090241F">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E</w:t>
      </w:r>
      <w:r w:rsidR="0090241F" w:rsidRPr="0090241F">
        <w:rPr>
          <w:rFonts w:ascii="Times New Roman" w:eastAsia="Times New Roman" w:hAnsi="Times New Roman" w:cs="Times New Roman"/>
          <w:sz w:val="24"/>
          <w:szCs w:val="24"/>
          <w:lang w:eastAsia="es-AR"/>
        </w:rPr>
        <w:t xml:space="preserve">l tribunal resolvió un recurso de apelación interpuesto contra un auto de procesamiento por el delito de insolvencia fiscal fraudulenta previsto en el art. 9 del Régimen Penal Tributario (art. 279 de la ley 27.430). </w:t>
      </w:r>
    </w:p>
    <w:p w14:paraId="08604E1D" w14:textId="77777777" w:rsidR="0090241F" w:rsidRPr="0090241F" w:rsidRDefault="0090241F" w:rsidP="0090241F">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90241F">
        <w:rPr>
          <w:rFonts w:ascii="Times New Roman" w:eastAsia="Times New Roman" w:hAnsi="Times New Roman" w:cs="Times New Roman"/>
          <w:b/>
          <w:bCs/>
          <w:sz w:val="36"/>
          <w:szCs w:val="36"/>
          <w:lang w:eastAsia="es-AR"/>
        </w:rPr>
        <w:t>1. Antecedentes fácticos y jurídicos</w:t>
      </w:r>
    </w:p>
    <w:p w14:paraId="71A15798"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a) Antecedentes fácticos</w:t>
      </w:r>
    </w:p>
    <w:p w14:paraId="55AA50BD"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La resolución apelada había dispuesto el procesamiento de:</w:t>
      </w:r>
    </w:p>
    <w:p w14:paraId="01E83982" w14:textId="77777777" w:rsidR="0090241F" w:rsidRPr="0090241F" w:rsidRDefault="0090241F" w:rsidP="00834AC2">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“Vegetales Procesados Patagónicos SRL”; </w:t>
      </w:r>
    </w:p>
    <w:p w14:paraId="44F2D158" w14:textId="77777777" w:rsidR="0090241F" w:rsidRPr="0090241F" w:rsidRDefault="0090241F" w:rsidP="00834AC2">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Ignacio Santiago </w:t>
      </w:r>
      <w:proofErr w:type="spellStart"/>
      <w:r w:rsidRPr="0090241F">
        <w:rPr>
          <w:rFonts w:ascii="Times New Roman" w:eastAsia="Times New Roman" w:hAnsi="Times New Roman" w:cs="Times New Roman"/>
          <w:sz w:val="24"/>
          <w:szCs w:val="24"/>
          <w:lang w:eastAsia="es-AR"/>
        </w:rPr>
        <w:t>Iranzi</w:t>
      </w:r>
      <w:proofErr w:type="spellEnd"/>
      <w:r w:rsidRPr="0090241F">
        <w:rPr>
          <w:rFonts w:ascii="Times New Roman" w:eastAsia="Times New Roman" w:hAnsi="Times New Roman" w:cs="Times New Roman"/>
          <w:sz w:val="24"/>
          <w:szCs w:val="24"/>
          <w:lang w:eastAsia="es-AR"/>
        </w:rPr>
        <w:t xml:space="preserve">; </w:t>
      </w:r>
    </w:p>
    <w:p w14:paraId="325601C0" w14:textId="77777777" w:rsidR="0090241F" w:rsidRPr="0090241F" w:rsidRDefault="0090241F" w:rsidP="00834AC2">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Pablo Isa </w:t>
      </w:r>
      <w:proofErr w:type="spellStart"/>
      <w:r w:rsidRPr="0090241F">
        <w:rPr>
          <w:rFonts w:ascii="Times New Roman" w:eastAsia="Times New Roman" w:hAnsi="Times New Roman" w:cs="Times New Roman"/>
          <w:sz w:val="24"/>
          <w:szCs w:val="24"/>
          <w:lang w:eastAsia="es-AR"/>
        </w:rPr>
        <w:t>Barcat</w:t>
      </w:r>
      <w:proofErr w:type="spellEnd"/>
      <w:r w:rsidRPr="0090241F">
        <w:rPr>
          <w:rFonts w:ascii="Times New Roman" w:eastAsia="Times New Roman" w:hAnsi="Times New Roman" w:cs="Times New Roman"/>
          <w:sz w:val="24"/>
          <w:szCs w:val="24"/>
          <w:lang w:eastAsia="es-AR"/>
        </w:rPr>
        <w:t xml:space="preserve">; </w:t>
      </w:r>
    </w:p>
    <w:p w14:paraId="288DF8FF" w14:textId="77777777" w:rsidR="0090241F" w:rsidRPr="0090241F" w:rsidRDefault="0090241F" w:rsidP="00834AC2">
      <w:pPr>
        <w:numPr>
          <w:ilvl w:val="0"/>
          <w:numId w:val="1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Guadalupe Benegas del Amo. </w:t>
      </w:r>
    </w:p>
    <w:p w14:paraId="699604BC"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Según el juez de primera instancia, los imputados habrían provocado la insolvencia de “Vegetales Procesados Patagónicos SRL” mediante un vaciamiento progresivo de su actividad comercial y financiera, transfiriendo actividad y recursos hacia otra firma denominada “Super Chef SAS”. </w:t>
      </w:r>
    </w:p>
    <w:p w14:paraId="3B407FAE"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El magistrado instructor sostuvo que:</w:t>
      </w:r>
    </w:p>
    <w:p w14:paraId="346F18D1" w14:textId="77777777" w:rsidR="0090241F" w:rsidRPr="0090241F" w:rsidRDefault="0090241F" w:rsidP="00834AC2">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empresa investigada dejó de presentar declaraciones juradas de IVA y de empleador; </w:t>
      </w:r>
    </w:p>
    <w:p w14:paraId="2517E544" w14:textId="77777777" w:rsidR="0090241F" w:rsidRPr="0090241F" w:rsidRDefault="0090241F" w:rsidP="00834AC2">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continuó manteniendo empleados sin declarar aportes ni contribuciones; </w:t>
      </w:r>
    </w:p>
    <w:p w14:paraId="20C3254A" w14:textId="77777777" w:rsidR="0090241F" w:rsidRPr="0090241F" w:rsidRDefault="0090241F" w:rsidP="00834AC2">
      <w:pPr>
        <w:numPr>
          <w:ilvl w:val="0"/>
          <w:numId w:val="17"/>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omitió presentar declaraciones del Impuesto a las Ganancias del ejercicio cerrado el 30/06/2019. </w:t>
      </w:r>
    </w:p>
    <w:p w14:paraId="797A5B93"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Además, consideró que existían indicadores de un traspaso de actividad económica hacia “Super Chef SAS”, destacando:</w:t>
      </w:r>
    </w:p>
    <w:p w14:paraId="6618127B" w14:textId="77777777" w:rsidR="0090241F" w:rsidRPr="0090241F" w:rsidRDefault="0090241F" w:rsidP="00834AC2">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continuidad de clientes y proveedores; </w:t>
      </w:r>
    </w:p>
    <w:p w14:paraId="4489F118" w14:textId="77777777" w:rsidR="0090241F" w:rsidRPr="0090241F" w:rsidRDefault="0090241F" w:rsidP="00834AC2">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desarrollo de la misma actividad comercial; </w:t>
      </w:r>
    </w:p>
    <w:p w14:paraId="7AF2FB95" w14:textId="77777777" w:rsidR="0090241F" w:rsidRPr="0090241F" w:rsidRDefault="0090241F" w:rsidP="00834AC2">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caída significativa de la facturación de “Vegetales Procesados Patagónicos SRL”; </w:t>
      </w:r>
    </w:p>
    <w:p w14:paraId="56AA8979" w14:textId="77777777" w:rsidR="0090241F" w:rsidRPr="0090241F" w:rsidRDefault="0090241F" w:rsidP="00834AC2">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incremento paralelo de la facturación de “Super Chef SAS”; </w:t>
      </w:r>
    </w:p>
    <w:p w14:paraId="6768DB05" w14:textId="77777777" w:rsidR="0090241F" w:rsidRPr="0090241F" w:rsidRDefault="0090241F" w:rsidP="00834AC2">
      <w:pPr>
        <w:numPr>
          <w:ilvl w:val="0"/>
          <w:numId w:val="18"/>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aumento de acreditaciones bancarias vinculadas a </w:t>
      </w:r>
      <w:proofErr w:type="spellStart"/>
      <w:r w:rsidRPr="0090241F">
        <w:rPr>
          <w:rFonts w:ascii="Times New Roman" w:eastAsia="Times New Roman" w:hAnsi="Times New Roman" w:cs="Times New Roman"/>
          <w:sz w:val="24"/>
          <w:szCs w:val="24"/>
          <w:lang w:eastAsia="es-AR"/>
        </w:rPr>
        <w:t>Iranzi</w:t>
      </w:r>
      <w:proofErr w:type="spellEnd"/>
      <w:r w:rsidRPr="0090241F">
        <w:rPr>
          <w:rFonts w:ascii="Times New Roman" w:eastAsia="Times New Roman" w:hAnsi="Times New Roman" w:cs="Times New Roman"/>
          <w:sz w:val="24"/>
          <w:szCs w:val="24"/>
          <w:lang w:eastAsia="es-AR"/>
        </w:rPr>
        <w:t xml:space="preserve"> y a su pareja. </w:t>
      </w:r>
    </w:p>
    <w:p w14:paraId="3CA73685"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juez también valoró que esos movimientos comenzaron luego de que los imputados tomaran conocimiento de una fiscalización iniciada por ARCA y dejaran de utilizar la cuenta bancaria de la sociedad investigada, situación que —según entendió— habría impedido al fisco cobrar las obligaciones tributarias adeudadas. </w:t>
      </w:r>
    </w:p>
    <w:p w14:paraId="75E34EC6"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En el aspecto subjetivo, el juez de grado consideró acreditados indicadores suficientes del conocimiento y voluntad de ejecutar el delito, especialmente por el conocimiento de las inspecciones y por las operaciones descriptas. </w:t>
      </w:r>
    </w:p>
    <w:p w14:paraId="2C52068E" w14:textId="77777777" w:rsidR="0090241F" w:rsidRPr="0090241F" w:rsidRDefault="004008F7" w:rsidP="0090241F">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lastRenderedPageBreak/>
        <w:pict w14:anchorId="0FEFE4C7">
          <v:rect id="_x0000_i1030" style="width:0;height:1.5pt" o:hralign="center" o:hrstd="t" o:hr="t" fillcolor="#a0a0a0" stroked="f"/>
        </w:pict>
      </w:r>
    </w:p>
    <w:p w14:paraId="61D23C8B"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b) Antecedentes jurídicos</w:t>
      </w:r>
    </w:p>
    <w:p w14:paraId="59697ADC"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causa giraba en torno a la figura de insolvencia fiscal fraudulenta del art. 9 del Régimen Penal Tributario, que reprime las conductas destinadas a frustrar el cobro de obligaciones tributarias mediante la provocación de insolvencia del contribuyente. </w:t>
      </w:r>
    </w:p>
    <w:p w14:paraId="3E9B2602"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La discusión central consistía en determinar si:</w:t>
      </w:r>
    </w:p>
    <w:p w14:paraId="610DFDA1" w14:textId="77777777" w:rsidR="0090241F" w:rsidRPr="0090241F" w:rsidRDefault="0090241F" w:rsidP="00834AC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traslado de actividad comercial desde una empresa hacia otra; </w:t>
      </w:r>
    </w:p>
    <w:p w14:paraId="70C800B2" w14:textId="77777777" w:rsidR="0090241F" w:rsidRPr="0090241F" w:rsidRDefault="0090241F" w:rsidP="00834AC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disminución de facturación; </w:t>
      </w:r>
    </w:p>
    <w:p w14:paraId="43CFAC7E" w14:textId="77777777" w:rsidR="0090241F" w:rsidRPr="0090241F" w:rsidRDefault="0090241F" w:rsidP="00834AC2">
      <w:pPr>
        <w:numPr>
          <w:ilvl w:val="0"/>
          <w:numId w:val="19"/>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y la continuidad operativa mediante otra sociedad, </w:t>
      </w:r>
    </w:p>
    <w:p w14:paraId="1119331F"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resultaban suficientes para tener configurada —al menos con el grado de probabilidad requerido para el procesamiento— la provocación fraudulenta de insolvencia. </w:t>
      </w:r>
    </w:p>
    <w:p w14:paraId="0ECADB78" w14:textId="77777777" w:rsidR="0090241F" w:rsidRPr="0090241F" w:rsidRDefault="0090241F" w:rsidP="0090241F">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90241F">
        <w:rPr>
          <w:rFonts w:ascii="Times New Roman" w:eastAsia="Times New Roman" w:hAnsi="Times New Roman" w:cs="Times New Roman"/>
          <w:b/>
          <w:bCs/>
          <w:sz w:val="36"/>
          <w:szCs w:val="36"/>
          <w:lang w:eastAsia="es-AR"/>
        </w:rPr>
        <w:t xml:space="preserve">2. </w:t>
      </w:r>
      <w:proofErr w:type="spellStart"/>
      <w:r w:rsidRPr="0090241F">
        <w:rPr>
          <w:rFonts w:ascii="Times New Roman" w:eastAsia="Times New Roman" w:hAnsi="Times New Roman" w:cs="Times New Roman"/>
          <w:b/>
          <w:bCs/>
          <w:sz w:val="36"/>
          <w:szCs w:val="36"/>
          <w:lang w:eastAsia="es-AR"/>
        </w:rPr>
        <w:t>Merituación</w:t>
      </w:r>
      <w:proofErr w:type="spellEnd"/>
      <w:r w:rsidRPr="0090241F">
        <w:rPr>
          <w:rFonts w:ascii="Times New Roman" w:eastAsia="Times New Roman" w:hAnsi="Times New Roman" w:cs="Times New Roman"/>
          <w:b/>
          <w:bCs/>
          <w:sz w:val="36"/>
          <w:szCs w:val="36"/>
          <w:lang w:eastAsia="es-AR"/>
        </w:rPr>
        <w:t xml:space="preserve"> de las posturas de las partes</w:t>
      </w:r>
    </w:p>
    <w:p w14:paraId="17524EB5"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a) Postura de la defensa</w:t>
      </w:r>
    </w:p>
    <w:p w14:paraId="4BA22D80"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defensa interpuso recurso de apelación contra el procesamiento. </w:t>
      </w:r>
    </w:p>
    <w:p w14:paraId="27B866BC"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Si bien el fallo no desarrolla extensamente sus argumentos, del razonamiento de la Cámara surge que la defensa cuestionó:</w:t>
      </w:r>
    </w:p>
    <w:p w14:paraId="684A0EF7" w14:textId="77777777" w:rsidR="0090241F" w:rsidRPr="0090241F" w:rsidRDefault="0090241F" w:rsidP="00834AC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suficiencia probatoria de los elementos valorados por el juez; </w:t>
      </w:r>
    </w:p>
    <w:p w14:paraId="7C2CFD4F" w14:textId="77777777" w:rsidR="0090241F" w:rsidRPr="0090241F" w:rsidRDefault="0090241F" w:rsidP="00834AC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existencia de maniobras concretas de vaciamiento patrimonial; </w:t>
      </w:r>
    </w:p>
    <w:p w14:paraId="64FEA8E6" w14:textId="77777777" w:rsidR="0090241F" w:rsidRPr="0090241F" w:rsidRDefault="0090241F" w:rsidP="00834AC2">
      <w:pPr>
        <w:numPr>
          <w:ilvl w:val="0"/>
          <w:numId w:val="20"/>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acreditación del tipo objetivo y subjetivo del delito de insolvencia fiscal fraudulenta. </w:t>
      </w:r>
    </w:p>
    <w:p w14:paraId="18A25A4C"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La estrategia defensiva apuntó a demostrar que lo verificado era, en todo caso, una transferencia o continuidad de actividad comercial, pero no una verdadera maniobra destinada a frustrar el cobro del crédito fiscal mediante el desapoderamiento patrimonial de la empresa obligada.</w:t>
      </w:r>
    </w:p>
    <w:p w14:paraId="276EC7D0" w14:textId="77777777" w:rsidR="0090241F" w:rsidRPr="0090241F" w:rsidRDefault="004008F7" w:rsidP="0090241F">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1287306">
          <v:rect id="_x0000_i1031" style="width:0;height:1.5pt" o:hralign="center" o:hrstd="t" o:hr="t" fillcolor="#a0a0a0" stroked="f"/>
        </w:pict>
      </w:r>
    </w:p>
    <w:p w14:paraId="5FF444DC"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b) Postura de la fiscalía</w:t>
      </w:r>
    </w:p>
    <w:p w14:paraId="3902A502"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fallo señala que el Ministerio Público Fiscal intervino sosteniendo la resolución apelada. </w:t>
      </w:r>
    </w:p>
    <w:p w14:paraId="35810595"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La postura acusatoria coincidía con la valoración del juez de grado respecto de que:</w:t>
      </w:r>
    </w:p>
    <w:p w14:paraId="31C00663" w14:textId="77777777" w:rsidR="0090241F" w:rsidRPr="0090241F" w:rsidRDefault="0090241F" w:rsidP="00834AC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existió un traspaso de actividad hacia otra empresa; </w:t>
      </w:r>
    </w:p>
    <w:p w14:paraId="2EC1D4F7" w14:textId="77777777" w:rsidR="0090241F" w:rsidRPr="0090241F" w:rsidRDefault="0090241F" w:rsidP="00834AC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ello ocurrió en el contexto de fiscalizaciones tributarias; </w:t>
      </w:r>
    </w:p>
    <w:p w14:paraId="5D13C8C4" w14:textId="77777777" w:rsidR="0090241F" w:rsidRPr="0090241F" w:rsidRDefault="0090241F" w:rsidP="00834AC2">
      <w:pPr>
        <w:numPr>
          <w:ilvl w:val="0"/>
          <w:numId w:val="21"/>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maniobra habría dificultado o impedido el cobro de obligaciones tributarias por parte del fisco. </w:t>
      </w:r>
    </w:p>
    <w:p w14:paraId="5B09FA84"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lastRenderedPageBreak/>
        <w:t>La fiscalía avaló así la configuración típica del delito de insolvencia fiscal fraudulenta y la procedencia del procesamiento.</w:t>
      </w:r>
    </w:p>
    <w:p w14:paraId="28DC88B3" w14:textId="77777777" w:rsidR="0090241F" w:rsidRPr="0090241F" w:rsidRDefault="004008F7" w:rsidP="0090241F">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7D160A9">
          <v:rect id="_x0000_i1032" style="width:0;height:1.5pt" o:hralign="center" o:hrstd="t" o:hr="t" fillcolor="#a0a0a0" stroked="f"/>
        </w:pict>
      </w:r>
    </w:p>
    <w:p w14:paraId="2F750056"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c) Querella</w:t>
      </w:r>
    </w:p>
    <w:p w14:paraId="369ABDC2"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No surge del fallo la intervención de una querella particular diferenciada del Ministerio Público Fiscal y del interés fiscal representado institucionalmente.</w:t>
      </w:r>
    </w:p>
    <w:p w14:paraId="696E7F22" w14:textId="77777777" w:rsidR="0090241F" w:rsidRPr="0090241F" w:rsidRDefault="0090241F" w:rsidP="0090241F">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90241F">
        <w:rPr>
          <w:rFonts w:ascii="Times New Roman" w:eastAsia="Times New Roman" w:hAnsi="Times New Roman" w:cs="Times New Roman"/>
          <w:b/>
          <w:bCs/>
          <w:sz w:val="36"/>
          <w:szCs w:val="36"/>
          <w:lang w:eastAsia="es-AR"/>
        </w:rPr>
        <w:t>3. Posición adoptada por la Cámara</w:t>
      </w:r>
    </w:p>
    <w:p w14:paraId="4F103C61"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Cámara Federal de General Roca revocó el procesamiento y dispuso la falta de mérito de los imputados. </w:t>
      </w:r>
    </w:p>
    <w:p w14:paraId="3CE926D6"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a) Análisis del tribunal sobre el tipo penal</w:t>
      </w:r>
    </w:p>
    <w:p w14:paraId="5783B22A"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tribunal comenzó señalando que sus decisiones debían fundarse exclusivamente en los elementos examinados en la resolución apelada, evitando incorporar razonamientos sorpresivos o ajenos al objeto del recurso. </w:t>
      </w:r>
    </w:p>
    <w:p w14:paraId="7256C79A"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Luego destacó que el delito de insolvencia fiscal fraudulenta exige:</w:t>
      </w:r>
    </w:p>
    <w:p w14:paraId="063450B1" w14:textId="77777777" w:rsidR="0090241F" w:rsidRPr="0090241F" w:rsidRDefault="0090241F" w:rsidP="00834AC2">
      <w:pPr>
        <w:numPr>
          <w:ilvl w:val="0"/>
          <w:numId w:val="22"/>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conductas concretas destinadas a frustrar el cobro de una obligación tributaria; </w:t>
      </w:r>
    </w:p>
    <w:p w14:paraId="20083F97" w14:textId="77777777" w:rsidR="0090241F" w:rsidRPr="0090241F" w:rsidRDefault="0090241F" w:rsidP="00834AC2">
      <w:pPr>
        <w:numPr>
          <w:ilvl w:val="0"/>
          <w:numId w:val="22"/>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una afectación patrimonial real del deudor; </w:t>
      </w:r>
    </w:p>
    <w:p w14:paraId="777C3A8D" w14:textId="77777777" w:rsidR="0090241F" w:rsidRPr="0090241F" w:rsidRDefault="0090241F" w:rsidP="00834AC2">
      <w:pPr>
        <w:numPr>
          <w:ilvl w:val="0"/>
          <w:numId w:val="22"/>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un vaciamiento o disminución efectiva del patrimonio susceptible de ejecución. </w:t>
      </w:r>
    </w:p>
    <w:p w14:paraId="73DF23FD"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Cámara citó doctrina de Alejandro Catania para señalar que el tipo penal exige maniobras que provoquen la insolvencia del deudor tributario. </w:t>
      </w:r>
    </w:p>
    <w:p w14:paraId="527488FC" w14:textId="77777777" w:rsidR="0090241F" w:rsidRPr="0090241F" w:rsidRDefault="004008F7" w:rsidP="0090241F">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675DEB5">
          <v:rect id="_x0000_i1033" style="width:0;height:1.5pt" o:hralign="center" o:hrstd="t" o:hr="t" fillcolor="#a0a0a0" stroked="f"/>
        </w:pict>
      </w:r>
    </w:p>
    <w:p w14:paraId="5BB810EC"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b) Crítica a la resolución apelada</w:t>
      </w:r>
    </w:p>
    <w:p w14:paraId="3F6E24B9"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El tribunal entendió que los elementos valorados por el juez de primera instancia no permitían sostener, con el grado requerido para un procesamiento, la configuración típica del delito.</w:t>
      </w:r>
    </w:p>
    <w:p w14:paraId="7F8391C3"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La Cámara consideró insuficiente:</w:t>
      </w:r>
    </w:p>
    <w:p w14:paraId="757BEDC2" w14:textId="77777777" w:rsidR="0090241F" w:rsidRPr="0090241F" w:rsidRDefault="0090241F" w:rsidP="00834AC2">
      <w:pPr>
        <w:numPr>
          <w:ilvl w:val="0"/>
          <w:numId w:val="23"/>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mera transferencia de actividad comercial hacia otra empresa; </w:t>
      </w:r>
    </w:p>
    <w:p w14:paraId="2E5D1880" w14:textId="77777777" w:rsidR="0090241F" w:rsidRPr="0090241F" w:rsidRDefault="0090241F" w:rsidP="00834AC2">
      <w:pPr>
        <w:numPr>
          <w:ilvl w:val="0"/>
          <w:numId w:val="23"/>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traslado de flujo económico futuro; </w:t>
      </w:r>
    </w:p>
    <w:p w14:paraId="4481A511" w14:textId="77777777" w:rsidR="0090241F" w:rsidRPr="0090241F" w:rsidRDefault="0090241F" w:rsidP="00834AC2">
      <w:pPr>
        <w:numPr>
          <w:ilvl w:val="0"/>
          <w:numId w:val="23"/>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la continuidad de clientes y proveedores; </w:t>
      </w:r>
    </w:p>
    <w:p w14:paraId="3CA64A5A" w14:textId="77777777" w:rsidR="0090241F" w:rsidRPr="0090241F" w:rsidRDefault="0090241F" w:rsidP="00834AC2">
      <w:pPr>
        <w:numPr>
          <w:ilvl w:val="0"/>
          <w:numId w:val="23"/>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aumento de facturación de otra sociedad. </w:t>
      </w:r>
    </w:p>
    <w:p w14:paraId="527F3BFB"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Sostuvo que esas circunstancias no implicaban necesariamente una detracción de bienes, créditos o activos integrantes del patrimonio de la empresa investigada. </w:t>
      </w:r>
    </w:p>
    <w:p w14:paraId="762CEB7D"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En particular, remarcó que:</w:t>
      </w:r>
    </w:p>
    <w:p w14:paraId="34531C69" w14:textId="77777777" w:rsidR="0090241F" w:rsidRPr="0090241F" w:rsidRDefault="0090241F" w:rsidP="00834AC2">
      <w:pPr>
        <w:numPr>
          <w:ilvl w:val="0"/>
          <w:numId w:val="24"/>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lastRenderedPageBreak/>
        <w:t xml:space="preserve">las operaciones comerciales futuras no forman parte del patrimonio ya existente; </w:t>
      </w:r>
    </w:p>
    <w:p w14:paraId="7375C7AD" w14:textId="77777777" w:rsidR="0090241F" w:rsidRPr="0090241F" w:rsidRDefault="0090241F" w:rsidP="00834AC2">
      <w:pPr>
        <w:numPr>
          <w:ilvl w:val="0"/>
          <w:numId w:val="24"/>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los créditos derivados de actividad futura tampoco integraban el acervo patrimonial cuya afectación exige el tipo penal; </w:t>
      </w:r>
    </w:p>
    <w:p w14:paraId="087A2865" w14:textId="77777777" w:rsidR="0090241F" w:rsidRPr="0090241F" w:rsidRDefault="0090241F" w:rsidP="00834AC2">
      <w:pPr>
        <w:numPr>
          <w:ilvl w:val="0"/>
          <w:numId w:val="24"/>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no se había demostrado una verdadera maniobra de vaciamiento patrimonial. </w:t>
      </w:r>
    </w:p>
    <w:p w14:paraId="516C5793" w14:textId="77777777" w:rsidR="0090241F" w:rsidRPr="0090241F" w:rsidRDefault="004008F7" w:rsidP="0090241F">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72ED8447">
          <v:rect id="_x0000_i1034" style="width:0;height:1.5pt" o:hralign="center" o:hrstd="t" o:hr="t" fillcolor="#a0a0a0" stroked="f"/>
        </w:pict>
      </w:r>
    </w:p>
    <w:p w14:paraId="446874AC" w14:textId="77777777" w:rsidR="0090241F" w:rsidRPr="0090241F" w:rsidRDefault="0090241F" w:rsidP="0090241F">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90241F">
        <w:rPr>
          <w:rFonts w:ascii="Times New Roman" w:eastAsia="Times New Roman" w:hAnsi="Times New Roman" w:cs="Times New Roman"/>
          <w:b/>
          <w:bCs/>
          <w:sz w:val="27"/>
          <w:szCs w:val="27"/>
          <w:lang w:eastAsia="es-AR"/>
        </w:rPr>
        <w:t>c) Resolución final</w:t>
      </w:r>
    </w:p>
    <w:p w14:paraId="7650D541"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En función de ello, la Cámara concluyó que:</w:t>
      </w:r>
    </w:p>
    <w:p w14:paraId="16121899" w14:textId="77777777" w:rsidR="0090241F" w:rsidRPr="0090241F" w:rsidRDefault="0090241F" w:rsidP="00834AC2">
      <w:pPr>
        <w:numPr>
          <w:ilvl w:val="0"/>
          <w:numId w:val="25"/>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no existían elementos suficientes para afirmar la configuración objetiva y subjetiva del delito de insolvencia fiscal fraudulenta; </w:t>
      </w:r>
    </w:p>
    <w:p w14:paraId="4F467455" w14:textId="77777777" w:rsidR="0090241F" w:rsidRPr="0090241F" w:rsidRDefault="0090241F" w:rsidP="00834AC2">
      <w:pPr>
        <w:numPr>
          <w:ilvl w:val="0"/>
          <w:numId w:val="25"/>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correspondía revocar el procesamiento; </w:t>
      </w:r>
    </w:p>
    <w:p w14:paraId="5CE9B70C" w14:textId="77777777" w:rsidR="0090241F" w:rsidRPr="0090241F" w:rsidRDefault="0090241F" w:rsidP="00834AC2">
      <w:pPr>
        <w:numPr>
          <w:ilvl w:val="0"/>
          <w:numId w:val="25"/>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el estado de la causa imponía dictar falta de mérito conforme al art. 309 CPPN. </w:t>
      </w:r>
    </w:p>
    <w:p w14:paraId="0D201CDB" w14:textId="77777777" w:rsidR="0090241F" w:rsidRPr="0090241F" w:rsidRDefault="0090241F" w:rsidP="0090241F">
      <w:p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Por ello resolvió:</w:t>
      </w:r>
    </w:p>
    <w:p w14:paraId="23FFBAB4" w14:textId="77777777" w:rsidR="0090241F" w:rsidRPr="0090241F" w:rsidRDefault="0090241F" w:rsidP="00834AC2">
      <w:pPr>
        <w:numPr>
          <w:ilvl w:val="0"/>
          <w:numId w:val="2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admitir el recurso de apelación de la defensa; </w:t>
      </w:r>
    </w:p>
    <w:p w14:paraId="24AA4743" w14:textId="77777777" w:rsidR="0090241F" w:rsidRPr="0090241F" w:rsidRDefault="0090241F" w:rsidP="00834AC2">
      <w:pPr>
        <w:numPr>
          <w:ilvl w:val="0"/>
          <w:numId w:val="2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 xml:space="preserve">revocar el procesamiento; </w:t>
      </w:r>
    </w:p>
    <w:p w14:paraId="337C8DD6" w14:textId="77777777" w:rsidR="0090241F" w:rsidRPr="0090241F" w:rsidRDefault="0090241F" w:rsidP="00834AC2">
      <w:pPr>
        <w:numPr>
          <w:ilvl w:val="0"/>
          <w:numId w:val="26"/>
        </w:numPr>
        <w:spacing w:before="100" w:beforeAutospacing="1" w:after="100" w:afterAutospacing="1" w:line="240" w:lineRule="auto"/>
        <w:rPr>
          <w:rFonts w:ascii="Times New Roman" w:eastAsia="Times New Roman" w:hAnsi="Times New Roman" w:cs="Times New Roman"/>
          <w:sz w:val="24"/>
          <w:szCs w:val="24"/>
          <w:lang w:eastAsia="es-AR"/>
        </w:rPr>
      </w:pPr>
      <w:r w:rsidRPr="0090241F">
        <w:rPr>
          <w:rFonts w:ascii="Times New Roman" w:eastAsia="Times New Roman" w:hAnsi="Times New Roman" w:cs="Times New Roman"/>
          <w:sz w:val="24"/>
          <w:szCs w:val="24"/>
          <w:lang w:eastAsia="es-AR"/>
        </w:rPr>
        <w:t>disponer la falta de mérito respecto de todos los imputados.</w:t>
      </w:r>
    </w:p>
    <w:p w14:paraId="58544F22" w14:textId="4FF93BF5" w:rsidR="00A70126" w:rsidRDefault="00A70126" w:rsidP="00A245F2"/>
    <w:p w14:paraId="75E55FCD" w14:textId="110A3CBA" w:rsidR="00394A81" w:rsidRPr="00394A81" w:rsidRDefault="00394A81" w:rsidP="00394A81">
      <w:pPr>
        <w:spacing w:before="100" w:beforeAutospacing="1" w:after="100" w:afterAutospacing="1" w:line="240" w:lineRule="auto"/>
        <w:jc w:val="both"/>
        <w:rPr>
          <w:rFonts w:ascii="Times New Roman" w:eastAsia="Times New Roman" w:hAnsi="Times New Roman" w:cs="Times New Roman"/>
          <w:b/>
          <w:bCs/>
          <w:sz w:val="24"/>
          <w:szCs w:val="24"/>
          <w:u w:val="single"/>
          <w:lang w:eastAsia="es-AR"/>
        </w:rPr>
      </w:pPr>
      <w:r w:rsidRPr="00394A81">
        <w:rPr>
          <w:rFonts w:ascii="Times New Roman" w:eastAsia="Times New Roman" w:hAnsi="Times New Roman" w:cs="Times New Roman"/>
          <w:b/>
          <w:bCs/>
          <w:sz w:val="24"/>
          <w:szCs w:val="24"/>
          <w:u w:val="single"/>
          <w:lang w:eastAsia="es-AR"/>
        </w:rPr>
        <w:t xml:space="preserve">FALLO III. </w:t>
      </w:r>
      <w:r w:rsidR="00834AC2" w:rsidRPr="00394A81">
        <w:rPr>
          <w:rFonts w:ascii="Times New Roman" w:eastAsia="Times New Roman" w:hAnsi="Times New Roman" w:cs="Times New Roman"/>
          <w:b/>
          <w:bCs/>
          <w:sz w:val="24"/>
          <w:szCs w:val="24"/>
          <w:u w:val="single"/>
          <w:lang w:eastAsia="es-AR"/>
        </w:rPr>
        <w:t>“</w:t>
      </w:r>
      <w:proofErr w:type="spellStart"/>
      <w:r w:rsidR="00834AC2" w:rsidRPr="00394A81">
        <w:rPr>
          <w:rFonts w:ascii="Times New Roman" w:eastAsia="Times New Roman" w:hAnsi="Times New Roman" w:cs="Times New Roman"/>
          <w:b/>
          <w:bCs/>
          <w:sz w:val="24"/>
          <w:szCs w:val="24"/>
          <w:u w:val="single"/>
          <w:lang w:eastAsia="es-AR"/>
        </w:rPr>
        <w:t>Leta</w:t>
      </w:r>
      <w:proofErr w:type="spellEnd"/>
      <w:r w:rsidR="00834AC2" w:rsidRPr="00394A81">
        <w:rPr>
          <w:rFonts w:ascii="Times New Roman" w:eastAsia="Times New Roman" w:hAnsi="Times New Roman" w:cs="Times New Roman"/>
          <w:b/>
          <w:bCs/>
          <w:sz w:val="24"/>
          <w:szCs w:val="24"/>
          <w:u w:val="single"/>
          <w:lang w:eastAsia="es-AR"/>
        </w:rPr>
        <w:t xml:space="preserve">, Daniel Rubén s/recurso de casación”, </w:t>
      </w:r>
      <w:r w:rsidRPr="00394A81">
        <w:rPr>
          <w:rFonts w:ascii="Times New Roman" w:eastAsia="Times New Roman" w:hAnsi="Times New Roman" w:cs="Times New Roman"/>
          <w:b/>
          <w:bCs/>
          <w:sz w:val="24"/>
          <w:szCs w:val="24"/>
          <w:u w:val="single"/>
          <w:lang w:eastAsia="es-AR"/>
        </w:rPr>
        <w:t>CFCP,</w:t>
      </w:r>
      <w:r w:rsidR="00834AC2" w:rsidRPr="00394A81">
        <w:rPr>
          <w:rFonts w:ascii="Times New Roman" w:eastAsia="Times New Roman" w:hAnsi="Times New Roman" w:cs="Times New Roman"/>
          <w:b/>
          <w:bCs/>
          <w:sz w:val="24"/>
          <w:szCs w:val="24"/>
          <w:u w:val="single"/>
          <w:lang w:eastAsia="es-AR"/>
        </w:rPr>
        <w:t xml:space="preserve"> Sala IV</w:t>
      </w:r>
      <w:r w:rsidRPr="00394A81">
        <w:rPr>
          <w:rFonts w:ascii="Times New Roman" w:eastAsia="Times New Roman" w:hAnsi="Times New Roman" w:cs="Times New Roman"/>
          <w:b/>
          <w:bCs/>
          <w:sz w:val="24"/>
          <w:szCs w:val="24"/>
          <w:u w:val="single"/>
          <w:lang w:eastAsia="es-AR"/>
        </w:rPr>
        <w:t>, 07/05/2026</w:t>
      </w:r>
    </w:p>
    <w:p w14:paraId="6D2D9752" w14:textId="3F5CBB90" w:rsidR="00834AC2" w:rsidRPr="00834AC2" w:rsidRDefault="00394A81" w:rsidP="00834AC2">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S</w:t>
      </w:r>
      <w:r w:rsidR="00834AC2" w:rsidRPr="00834AC2">
        <w:rPr>
          <w:rFonts w:ascii="Times New Roman" w:eastAsia="Times New Roman" w:hAnsi="Times New Roman" w:cs="Times New Roman"/>
          <w:sz w:val="24"/>
          <w:szCs w:val="24"/>
          <w:lang w:eastAsia="es-AR"/>
        </w:rPr>
        <w:t xml:space="preserve">e analizó el rechazo del pedido de extinción de la acción penal y sobreseimiento formulado por la defensa en el marco de una imputación por insolvencia fiscal fraudulenta. </w:t>
      </w:r>
    </w:p>
    <w:p w14:paraId="09130C92"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1. Antecedentes fácticos y jurídicos que llevan a la apelación</w:t>
      </w:r>
    </w:p>
    <w:p w14:paraId="3AD5E02E"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a) Antecedentes fácticos</w:t>
      </w:r>
    </w:p>
    <w:p w14:paraId="3A0625D2"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Daniel Rubén </w:t>
      </w:r>
      <w:proofErr w:type="spellStart"/>
      <w:r w:rsidRPr="00834AC2">
        <w:rPr>
          <w:rFonts w:ascii="Times New Roman" w:eastAsia="Times New Roman" w:hAnsi="Times New Roman" w:cs="Times New Roman"/>
          <w:sz w:val="24"/>
          <w:szCs w:val="24"/>
          <w:lang w:eastAsia="es-AR"/>
        </w:rPr>
        <w:t>Leta</w:t>
      </w:r>
      <w:proofErr w:type="spellEnd"/>
      <w:r w:rsidRPr="00834AC2">
        <w:rPr>
          <w:rFonts w:ascii="Times New Roman" w:eastAsia="Times New Roman" w:hAnsi="Times New Roman" w:cs="Times New Roman"/>
          <w:sz w:val="24"/>
          <w:szCs w:val="24"/>
          <w:lang w:eastAsia="es-AR"/>
        </w:rPr>
        <w:t xml:space="preserve"> había sido requerido a juicio como presunto autor del delito de insolvencia fiscal fraudulenta previsto en el art. 9 del Régimen Penal Tributario y art. 45 del Código Penal. </w:t>
      </w:r>
    </w:p>
    <w:p w14:paraId="18E5AC5A"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La defensa solicitó ante el Tribunal Oral Federal N.º 1 de Mendoza la extinción de la acción penal y el sobreseimiento de su asistido, alegando que:</w:t>
      </w:r>
    </w:p>
    <w:p w14:paraId="3E11C1FA" w14:textId="77777777" w:rsidR="00834AC2" w:rsidRPr="00834AC2" w:rsidRDefault="00834AC2" w:rsidP="00834AC2">
      <w:pPr>
        <w:numPr>
          <w:ilvl w:val="0"/>
          <w:numId w:val="2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se había adherido al régimen de regularización excepcional de la Ley 27.743; </w:t>
      </w:r>
    </w:p>
    <w:p w14:paraId="4A4B6006" w14:textId="77777777" w:rsidR="00834AC2" w:rsidRPr="00834AC2" w:rsidRDefault="00834AC2" w:rsidP="00834AC2">
      <w:pPr>
        <w:numPr>
          <w:ilvl w:val="0"/>
          <w:numId w:val="2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existía un plan de pagos vigente; </w:t>
      </w:r>
    </w:p>
    <w:p w14:paraId="48AF959A" w14:textId="77777777" w:rsidR="00834AC2" w:rsidRPr="00834AC2" w:rsidRDefault="00834AC2" w:rsidP="00834AC2">
      <w:pPr>
        <w:numPr>
          <w:ilvl w:val="0"/>
          <w:numId w:val="2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deuda tributaria denunciada se encontraba cancelada o prácticamente cancelada. </w:t>
      </w:r>
    </w:p>
    <w:p w14:paraId="130B2378"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A raíz de ello, el Ministerio Público Fiscal solicitó informes complementarios a ARCA para verificar:</w:t>
      </w:r>
    </w:p>
    <w:p w14:paraId="2D5C6300" w14:textId="77777777" w:rsidR="00834AC2" w:rsidRPr="00834AC2" w:rsidRDefault="00834AC2" w:rsidP="00834AC2">
      <w:pPr>
        <w:numPr>
          <w:ilvl w:val="0"/>
          <w:numId w:val="28"/>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834AC2">
        <w:rPr>
          <w:rFonts w:ascii="Times New Roman" w:eastAsia="Times New Roman" w:hAnsi="Times New Roman" w:cs="Times New Roman"/>
          <w:sz w:val="24"/>
          <w:szCs w:val="24"/>
          <w:lang w:eastAsia="es-AR"/>
        </w:rPr>
        <w:lastRenderedPageBreak/>
        <w:t>si</w:t>
      </w:r>
      <w:proofErr w:type="spellEnd"/>
      <w:r w:rsidRPr="00834AC2">
        <w:rPr>
          <w:rFonts w:ascii="Times New Roman" w:eastAsia="Times New Roman" w:hAnsi="Times New Roman" w:cs="Times New Roman"/>
          <w:sz w:val="24"/>
          <w:szCs w:val="24"/>
          <w:lang w:eastAsia="es-AR"/>
        </w:rPr>
        <w:t xml:space="preserve"> resultaba procedente el acogimiento al régimen; </w:t>
      </w:r>
    </w:p>
    <w:p w14:paraId="4C4EB783" w14:textId="77777777" w:rsidR="00834AC2" w:rsidRPr="00834AC2" w:rsidRDefault="00834AC2" w:rsidP="00834AC2">
      <w:pPr>
        <w:numPr>
          <w:ilvl w:val="0"/>
          <w:numId w:val="2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monto adeudado; </w:t>
      </w:r>
    </w:p>
    <w:p w14:paraId="02E3057E" w14:textId="77777777" w:rsidR="00834AC2" w:rsidRPr="00834AC2" w:rsidRDefault="00834AC2" w:rsidP="00834AC2">
      <w:pPr>
        <w:numPr>
          <w:ilvl w:val="0"/>
          <w:numId w:val="2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si las obligaciones objeto de la denuncia habían sido efectivamente incorporadas a moratorias o planes de facilidades. </w:t>
      </w:r>
    </w:p>
    <w:p w14:paraId="5A5671A3"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ARCA informó que:</w:t>
      </w:r>
    </w:p>
    <w:p w14:paraId="41526344" w14:textId="77777777" w:rsidR="00834AC2" w:rsidRPr="00834AC2" w:rsidRDefault="00834AC2" w:rsidP="00834AC2">
      <w:pPr>
        <w:numPr>
          <w:ilvl w:val="0"/>
          <w:numId w:val="2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subsistía deuda pendiente; </w:t>
      </w:r>
    </w:p>
    <w:p w14:paraId="10B70B83" w14:textId="77777777" w:rsidR="00834AC2" w:rsidRPr="00834AC2" w:rsidRDefault="00834AC2" w:rsidP="00834AC2">
      <w:pPr>
        <w:numPr>
          <w:ilvl w:val="0"/>
          <w:numId w:val="2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deuda en gestión administrativa permanecía impaga; </w:t>
      </w:r>
    </w:p>
    <w:p w14:paraId="594151F7" w14:textId="77777777" w:rsidR="00834AC2" w:rsidRPr="00834AC2" w:rsidRDefault="00834AC2" w:rsidP="00834AC2">
      <w:pPr>
        <w:numPr>
          <w:ilvl w:val="0"/>
          <w:numId w:val="2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los planes de facilidades existentes no incluían las obligaciones objeto de la denuncia penal; </w:t>
      </w:r>
    </w:p>
    <w:p w14:paraId="39F26578" w14:textId="77777777" w:rsidR="00834AC2" w:rsidRPr="00834AC2" w:rsidRDefault="00834AC2" w:rsidP="00834AC2">
      <w:pPr>
        <w:numPr>
          <w:ilvl w:val="0"/>
          <w:numId w:val="2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ni NEREIDA S.A. ni Daniel </w:t>
      </w:r>
      <w:proofErr w:type="spellStart"/>
      <w:r w:rsidRPr="00834AC2">
        <w:rPr>
          <w:rFonts w:ascii="Times New Roman" w:eastAsia="Times New Roman" w:hAnsi="Times New Roman" w:cs="Times New Roman"/>
          <w:sz w:val="24"/>
          <w:szCs w:val="24"/>
          <w:lang w:eastAsia="es-AR"/>
        </w:rPr>
        <w:t>Leta</w:t>
      </w:r>
      <w:proofErr w:type="spellEnd"/>
      <w:r w:rsidRPr="00834AC2">
        <w:rPr>
          <w:rFonts w:ascii="Times New Roman" w:eastAsia="Times New Roman" w:hAnsi="Times New Roman" w:cs="Times New Roman"/>
          <w:sz w:val="24"/>
          <w:szCs w:val="24"/>
          <w:lang w:eastAsia="es-AR"/>
        </w:rPr>
        <w:t xml:space="preserve"> habían acogido esas obligaciones a un régimen de moratoria. </w:t>
      </w:r>
    </w:p>
    <w:p w14:paraId="232B8649"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Sobre esa base, el Ministerio Público Fiscal dictaminó que no correspondía extinguir la acción penal y el Tribunal Oral rechazó el pedido defensivo. </w:t>
      </w:r>
    </w:p>
    <w:p w14:paraId="57CB6241"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Contra esa decisión la defensa interpuso recurso de casación. </w:t>
      </w:r>
    </w:p>
    <w:p w14:paraId="3085393F" w14:textId="77777777" w:rsidR="00834AC2" w:rsidRPr="00834AC2" w:rsidRDefault="004008F7" w:rsidP="00834AC2">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5844FADA">
          <v:rect id="_x0000_i1035" style="width:0;height:1.5pt" o:hralign="center" o:hrstd="t" o:hr="t" fillcolor="#a0a0a0" stroked="f"/>
        </w:pict>
      </w:r>
    </w:p>
    <w:p w14:paraId="01F1F35E"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b) Antecedentes jurídicos</w:t>
      </w:r>
    </w:p>
    <w:p w14:paraId="3A120995"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El debate jurídico giró principalmente en torno a:</w:t>
      </w:r>
    </w:p>
    <w:p w14:paraId="610667F4" w14:textId="77777777" w:rsidR="00834AC2" w:rsidRPr="00834AC2" w:rsidRDefault="00834AC2" w:rsidP="00834AC2">
      <w:pPr>
        <w:numPr>
          <w:ilvl w:val="0"/>
          <w:numId w:val="3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art. 5 de la Ley 27.743; </w:t>
      </w:r>
    </w:p>
    <w:p w14:paraId="4DCEEFC7" w14:textId="77777777" w:rsidR="00834AC2" w:rsidRPr="00834AC2" w:rsidRDefault="00834AC2" w:rsidP="00834AC2">
      <w:pPr>
        <w:numPr>
          <w:ilvl w:val="0"/>
          <w:numId w:val="3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Decreto 608/2024; </w:t>
      </w:r>
    </w:p>
    <w:p w14:paraId="16D193F7" w14:textId="77777777" w:rsidR="00834AC2" w:rsidRPr="00834AC2" w:rsidRDefault="00834AC2" w:rsidP="00834AC2">
      <w:pPr>
        <w:numPr>
          <w:ilvl w:val="0"/>
          <w:numId w:val="3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procedencia de la extinción de la acción penal en delitos tributarios ante la cancelación total de la deuda. </w:t>
      </w:r>
    </w:p>
    <w:p w14:paraId="01262913"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La defensa sostuvo que la deuda había sido regularizada y que la acción penal debía extinguirse.</w:t>
      </w:r>
    </w:p>
    <w:p w14:paraId="3002762D"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El Ministerio Público Fiscal y el tribunal oral entendieron que:</w:t>
      </w:r>
    </w:p>
    <w:p w14:paraId="697C5FA2" w14:textId="77777777" w:rsidR="00834AC2" w:rsidRPr="00834AC2" w:rsidRDefault="00834AC2" w:rsidP="00834AC2">
      <w:pPr>
        <w:numPr>
          <w:ilvl w:val="0"/>
          <w:numId w:val="3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no existía cancelación total; </w:t>
      </w:r>
    </w:p>
    <w:p w14:paraId="636DB389" w14:textId="77777777" w:rsidR="00834AC2" w:rsidRPr="00834AC2" w:rsidRDefault="00834AC2" w:rsidP="00834AC2">
      <w:pPr>
        <w:numPr>
          <w:ilvl w:val="0"/>
          <w:numId w:val="3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las obligaciones denunciadas no habían sido incluidas válidamente en los planes invocados; </w:t>
      </w:r>
    </w:p>
    <w:p w14:paraId="028D83A9" w14:textId="77777777" w:rsidR="00834AC2" w:rsidRPr="00834AC2" w:rsidRDefault="00834AC2" w:rsidP="00834AC2">
      <w:pPr>
        <w:numPr>
          <w:ilvl w:val="0"/>
          <w:numId w:val="3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por ello no se verificaban los requisitos legales de la extinción penal. </w:t>
      </w:r>
    </w:p>
    <w:p w14:paraId="0A00ABA9"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2. Fundamentos de la apelación de cada parte</w:t>
      </w:r>
    </w:p>
    <w:p w14:paraId="56C62DE4"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a) Fundamentos de la defensa</w:t>
      </w:r>
    </w:p>
    <w:p w14:paraId="0BDB56D8"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La defensa articuló varios agravios contra la resolución recurrida.</w:t>
      </w:r>
    </w:p>
    <w:p w14:paraId="789F4A8C" w14:textId="77777777" w:rsidR="00834AC2" w:rsidRPr="00834AC2" w:rsidRDefault="00834AC2" w:rsidP="00834AC2">
      <w:pPr>
        <w:spacing w:before="100" w:beforeAutospacing="1" w:after="100" w:afterAutospacing="1" w:line="240" w:lineRule="auto"/>
        <w:outlineLvl w:val="3"/>
        <w:rPr>
          <w:rFonts w:ascii="Times New Roman" w:eastAsia="Times New Roman" w:hAnsi="Times New Roman" w:cs="Times New Roman"/>
          <w:b/>
          <w:bCs/>
          <w:sz w:val="24"/>
          <w:szCs w:val="24"/>
          <w:lang w:eastAsia="es-AR"/>
        </w:rPr>
      </w:pPr>
      <w:r w:rsidRPr="00834AC2">
        <w:rPr>
          <w:rFonts w:ascii="Times New Roman" w:eastAsia="Times New Roman" w:hAnsi="Times New Roman" w:cs="Times New Roman"/>
          <w:b/>
          <w:bCs/>
          <w:sz w:val="24"/>
          <w:szCs w:val="24"/>
          <w:lang w:eastAsia="es-AR"/>
        </w:rPr>
        <w:t>i. Falta de fundamentación y arbitrariedad</w:t>
      </w:r>
    </w:p>
    <w:p w14:paraId="11FBD1E7"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Sostuvo que el tribunal oral:</w:t>
      </w:r>
    </w:p>
    <w:p w14:paraId="04B033E8" w14:textId="77777777" w:rsidR="00834AC2" w:rsidRPr="00834AC2" w:rsidRDefault="00834AC2" w:rsidP="00834AC2">
      <w:pPr>
        <w:numPr>
          <w:ilvl w:val="0"/>
          <w:numId w:val="3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lastRenderedPageBreak/>
        <w:t xml:space="preserve">se limitó a reproducir informes de ARCA; </w:t>
      </w:r>
    </w:p>
    <w:p w14:paraId="76C40C77" w14:textId="77777777" w:rsidR="00834AC2" w:rsidRPr="00834AC2" w:rsidRDefault="00834AC2" w:rsidP="00834AC2">
      <w:pPr>
        <w:numPr>
          <w:ilvl w:val="0"/>
          <w:numId w:val="3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no efectuó un análisis crítico; </w:t>
      </w:r>
    </w:p>
    <w:p w14:paraId="5A1F327B" w14:textId="77777777" w:rsidR="00834AC2" w:rsidRPr="00834AC2" w:rsidRDefault="00834AC2" w:rsidP="00834AC2">
      <w:pPr>
        <w:numPr>
          <w:ilvl w:val="0"/>
          <w:numId w:val="3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omitió valorar la prueba documental aportada por la defensa. </w:t>
      </w:r>
    </w:p>
    <w:p w14:paraId="79E07F42"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Afirmó que:</w:t>
      </w:r>
    </w:p>
    <w:p w14:paraId="347EFA5E" w14:textId="77777777" w:rsidR="00834AC2" w:rsidRPr="00834AC2" w:rsidRDefault="00834AC2" w:rsidP="00834AC2">
      <w:pPr>
        <w:numPr>
          <w:ilvl w:val="0"/>
          <w:numId w:val="3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existían comprobantes de pago; </w:t>
      </w:r>
    </w:p>
    <w:p w14:paraId="0657B780" w14:textId="77777777" w:rsidR="00834AC2" w:rsidRPr="00834AC2" w:rsidRDefault="00834AC2" w:rsidP="00834AC2">
      <w:pPr>
        <w:numPr>
          <w:ilvl w:val="0"/>
          <w:numId w:val="3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constancias de cancelación de cuotas; </w:t>
      </w:r>
    </w:p>
    <w:p w14:paraId="6E276AAF" w14:textId="77777777" w:rsidR="00834AC2" w:rsidRPr="00834AC2" w:rsidRDefault="00834AC2" w:rsidP="00834AC2">
      <w:pPr>
        <w:numPr>
          <w:ilvl w:val="0"/>
          <w:numId w:val="3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comunicaciones del estudio jurídico </w:t>
      </w:r>
      <w:proofErr w:type="spellStart"/>
      <w:r w:rsidRPr="00834AC2">
        <w:rPr>
          <w:rFonts w:ascii="Times New Roman" w:eastAsia="Times New Roman" w:hAnsi="Times New Roman" w:cs="Times New Roman"/>
          <w:sz w:val="24"/>
          <w:szCs w:val="24"/>
          <w:lang w:eastAsia="es-AR"/>
        </w:rPr>
        <w:t>Montepeluso</w:t>
      </w:r>
      <w:proofErr w:type="spellEnd"/>
      <w:r w:rsidRPr="00834AC2">
        <w:rPr>
          <w:rFonts w:ascii="Times New Roman" w:eastAsia="Times New Roman" w:hAnsi="Times New Roman" w:cs="Times New Roman"/>
          <w:sz w:val="24"/>
          <w:szCs w:val="24"/>
          <w:lang w:eastAsia="es-AR"/>
        </w:rPr>
        <w:t xml:space="preserve"> que acreditarían el cumplimiento del plan. </w:t>
      </w:r>
    </w:p>
    <w:p w14:paraId="7934BCD3"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También alegó contradicciones entre:</w:t>
      </w:r>
    </w:p>
    <w:p w14:paraId="773CD13A" w14:textId="77777777" w:rsidR="00834AC2" w:rsidRPr="00834AC2" w:rsidRDefault="00834AC2" w:rsidP="00834AC2">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información oficial de ARCA; </w:t>
      </w:r>
    </w:p>
    <w:p w14:paraId="73339188" w14:textId="77777777" w:rsidR="00834AC2" w:rsidRPr="00834AC2" w:rsidRDefault="00834AC2" w:rsidP="00834AC2">
      <w:pPr>
        <w:numPr>
          <w:ilvl w:val="0"/>
          <w:numId w:val="34"/>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documentación acompañada por la defensa. </w:t>
      </w:r>
    </w:p>
    <w:p w14:paraId="1C630B2A" w14:textId="77777777" w:rsidR="00834AC2" w:rsidRPr="00834AC2" w:rsidRDefault="00834AC2" w:rsidP="00834AC2">
      <w:pPr>
        <w:spacing w:before="100" w:beforeAutospacing="1" w:after="100" w:afterAutospacing="1" w:line="240" w:lineRule="auto"/>
        <w:outlineLvl w:val="3"/>
        <w:rPr>
          <w:rFonts w:ascii="Times New Roman" w:eastAsia="Times New Roman" w:hAnsi="Times New Roman" w:cs="Times New Roman"/>
          <w:b/>
          <w:bCs/>
          <w:sz w:val="24"/>
          <w:szCs w:val="24"/>
          <w:lang w:eastAsia="es-AR"/>
        </w:rPr>
      </w:pPr>
      <w:proofErr w:type="spellStart"/>
      <w:r w:rsidRPr="00834AC2">
        <w:rPr>
          <w:rFonts w:ascii="Times New Roman" w:eastAsia="Times New Roman" w:hAnsi="Times New Roman" w:cs="Times New Roman"/>
          <w:b/>
          <w:bCs/>
          <w:sz w:val="24"/>
          <w:szCs w:val="24"/>
          <w:lang w:eastAsia="es-AR"/>
        </w:rPr>
        <w:t>ii</w:t>
      </w:r>
      <w:proofErr w:type="spellEnd"/>
      <w:r w:rsidRPr="00834AC2">
        <w:rPr>
          <w:rFonts w:ascii="Times New Roman" w:eastAsia="Times New Roman" w:hAnsi="Times New Roman" w:cs="Times New Roman"/>
          <w:b/>
          <w:bCs/>
          <w:sz w:val="24"/>
          <w:szCs w:val="24"/>
          <w:lang w:eastAsia="es-AR"/>
        </w:rPr>
        <w:t>. Violación del principio de contradicción</w:t>
      </w:r>
    </w:p>
    <w:p w14:paraId="1EB00E5F"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La defensa sostuvo que el tribunal omitió considerar escritos posteriores mediante los cuales:</w:t>
      </w:r>
    </w:p>
    <w:p w14:paraId="63240A42" w14:textId="77777777" w:rsidR="00834AC2" w:rsidRPr="00834AC2" w:rsidRDefault="00834AC2" w:rsidP="00834AC2">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había contestado el informe fiscal; </w:t>
      </w:r>
    </w:p>
    <w:p w14:paraId="78AA6535" w14:textId="77777777" w:rsidR="00834AC2" w:rsidRPr="00834AC2" w:rsidRDefault="00834AC2" w:rsidP="00834AC2">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acompañado nueva documentación; </w:t>
      </w:r>
    </w:p>
    <w:p w14:paraId="3BF99D49" w14:textId="77777777" w:rsidR="00834AC2" w:rsidRPr="00834AC2" w:rsidRDefault="00834AC2" w:rsidP="00834AC2">
      <w:pPr>
        <w:numPr>
          <w:ilvl w:val="0"/>
          <w:numId w:val="35"/>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solicitado verificaciones adicionales. </w:t>
      </w:r>
    </w:p>
    <w:p w14:paraId="7213DD3F"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Afirmó que ello vulneró:</w:t>
      </w:r>
    </w:p>
    <w:p w14:paraId="7F1BB105" w14:textId="77777777" w:rsidR="00834AC2" w:rsidRPr="00834AC2" w:rsidRDefault="00834AC2" w:rsidP="00834AC2">
      <w:pPr>
        <w:numPr>
          <w:ilvl w:val="0"/>
          <w:numId w:val="36"/>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derecho de defensa; </w:t>
      </w:r>
    </w:p>
    <w:p w14:paraId="646305D3" w14:textId="77777777" w:rsidR="00834AC2" w:rsidRPr="00834AC2" w:rsidRDefault="00834AC2" w:rsidP="00834AC2">
      <w:pPr>
        <w:numPr>
          <w:ilvl w:val="0"/>
          <w:numId w:val="36"/>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principio de contradicción; </w:t>
      </w:r>
    </w:p>
    <w:p w14:paraId="45E356FA" w14:textId="77777777" w:rsidR="00834AC2" w:rsidRPr="00834AC2" w:rsidRDefault="00834AC2" w:rsidP="00834AC2">
      <w:pPr>
        <w:numPr>
          <w:ilvl w:val="0"/>
          <w:numId w:val="36"/>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debido proceso. </w:t>
      </w:r>
    </w:p>
    <w:p w14:paraId="3D8CA12B" w14:textId="77777777" w:rsidR="00834AC2" w:rsidRPr="00834AC2" w:rsidRDefault="00834AC2" w:rsidP="00834AC2">
      <w:pPr>
        <w:spacing w:before="100" w:beforeAutospacing="1" w:after="100" w:afterAutospacing="1" w:line="240" w:lineRule="auto"/>
        <w:outlineLvl w:val="3"/>
        <w:rPr>
          <w:rFonts w:ascii="Times New Roman" w:eastAsia="Times New Roman" w:hAnsi="Times New Roman" w:cs="Times New Roman"/>
          <w:b/>
          <w:bCs/>
          <w:sz w:val="24"/>
          <w:szCs w:val="24"/>
          <w:lang w:eastAsia="es-AR"/>
        </w:rPr>
      </w:pPr>
      <w:proofErr w:type="spellStart"/>
      <w:r w:rsidRPr="00834AC2">
        <w:rPr>
          <w:rFonts w:ascii="Times New Roman" w:eastAsia="Times New Roman" w:hAnsi="Times New Roman" w:cs="Times New Roman"/>
          <w:b/>
          <w:bCs/>
          <w:sz w:val="24"/>
          <w:szCs w:val="24"/>
          <w:lang w:eastAsia="es-AR"/>
        </w:rPr>
        <w:t>iii</w:t>
      </w:r>
      <w:proofErr w:type="spellEnd"/>
      <w:r w:rsidRPr="00834AC2">
        <w:rPr>
          <w:rFonts w:ascii="Times New Roman" w:eastAsia="Times New Roman" w:hAnsi="Times New Roman" w:cs="Times New Roman"/>
          <w:b/>
          <w:bCs/>
          <w:sz w:val="24"/>
          <w:szCs w:val="24"/>
          <w:lang w:eastAsia="es-AR"/>
        </w:rPr>
        <w:t>. Omisión de producir prueba complementaria</w:t>
      </w:r>
    </w:p>
    <w:p w14:paraId="570FBB1F"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La defensa sostuvo que, ante versiones contrapuestas, el tribunal debió ordenar:</w:t>
      </w:r>
    </w:p>
    <w:p w14:paraId="118A7F90" w14:textId="77777777" w:rsidR="00834AC2" w:rsidRPr="00834AC2" w:rsidRDefault="00834AC2" w:rsidP="00834AC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pericia contable; </w:t>
      </w:r>
    </w:p>
    <w:p w14:paraId="094C6EFD" w14:textId="77777777" w:rsidR="00834AC2" w:rsidRPr="00834AC2" w:rsidRDefault="00834AC2" w:rsidP="00834AC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verificaciones directas; </w:t>
      </w:r>
    </w:p>
    <w:p w14:paraId="544A91D0" w14:textId="77777777" w:rsidR="00834AC2" w:rsidRPr="00834AC2" w:rsidRDefault="00834AC2" w:rsidP="00834AC2">
      <w:pPr>
        <w:numPr>
          <w:ilvl w:val="0"/>
          <w:numId w:val="3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informes ampliatorios. </w:t>
      </w:r>
    </w:p>
    <w:p w14:paraId="4BC8B15A"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Afirmó que el tribunal perdió imparcialidad al privilegiar automáticamente los informes estatales. </w:t>
      </w:r>
    </w:p>
    <w:p w14:paraId="6D48ACE6" w14:textId="77777777" w:rsidR="00834AC2" w:rsidRPr="00834AC2" w:rsidRDefault="00834AC2" w:rsidP="00834AC2">
      <w:pPr>
        <w:spacing w:before="100" w:beforeAutospacing="1" w:after="100" w:afterAutospacing="1" w:line="240" w:lineRule="auto"/>
        <w:outlineLvl w:val="3"/>
        <w:rPr>
          <w:rFonts w:ascii="Times New Roman" w:eastAsia="Times New Roman" w:hAnsi="Times New Roman" w:cs="Times New Roman"/>
          <w:b/>
          <w:bCs/>
          <w:sz w:val="24"/>
          <w:szCs w:val="24"/>
          <w:lang w:eastAsia="es-AR"/>
        </w:rPr>
      </w:pPr>
      <w:proofErr w:type="spellStart"/>
      <w:r w:rsidRPr="00834AC2">
        <w:rPr>
          <w:rFonts w:ascii="Times New Roman" w:eastAsia="Times New Roman" w:hAnsi="Times New Roman" w:cs="Times New Roman"/>
          <w:b/>
          <w:bCs/>
          <w:sz w:val="24"/>
          <w:szCs w:val="24"/>
          <w:lang w:eastAsia="es-AR"/>
        </w:rPr>
        <w:t>iv</w:t>
      </w:r>
      <w:proofErr w:type="spellEnd"/>
      <w:r w:rsidRPr="00834AC2">
        <w:rPr>
          <w:rFonts w:ascii="Times New Roman" w:eastAsia="Times New Roman" w:hAnsi="Times New Roman" w:cs="Times New Roman"/>
          <w:b/>
          <w:bCs/>
          <w:sz w:val="24"/>
          <w:szCs w:val="24"/>
          <w:lang w:eastAsia="es-AR"/>
        </w:rPr>
        <w:t>. Extinción de la acción penal</w:t>
      </w:r>
    </w:p>
    <w:p w14:paraId="181DE047"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Finalmente sostuvo que:</w:t>
      </w:r>
    </w:p>
    <w:p w14:paraId="4D31CCD9" w14:textId="77777777" w:rsidR="00834AC2" w:rsidRPr="00834AC2" w:rsidRDefault="00834AC2" w:rsidP="00834AC2">
      <w:pPr>
        <w:numPr>
          <w:ilvl w:val="0"/>
          <w:numId w:val="38"/>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834AC2">
        <w:rPr>
          <w:rFonts w:ascii="Times New Roman" w:eastAsia="Times New Roman" w:hAnsi="Times New Roman" w:cs="Times New Roman"/>
          <w:sz w:val="24"/>
          <w:szCs w:val="24"/>
          <w:lang w:eastAsia="es-AR"/>
        </w:rPr>
        <w:t>Leta</w:t>
      </w:r>
      <w:proofErr w:type="spellEnd"/>
      <w:r w:rsidRPr="00834AC2">
        <w:rPr>
          <w:rFonts w:ascii="Times New Roman" w:eastAsia="Times New Roman" w:hAnsi="Times New Roman" w:cs="Times New Roman"/>
          <w:sz w:val="24"/>
          <w:szCs w:val="24"/>
          <w:lang w:eastAsia="es-AR"/>
        </w:rPr>
        <w:t xml:space="preserve"> se había acogido al régimen de la Ley 27.743; </w:t>
      </w:r>
    </w:p>
    <w:p w14:paraId="0A8C7E7F" w14:textId="77777777" w:rsidR="00834AC2" w:rsidRPr="00834AC2" w:rsidRDefault="00834AC2" w:rsidP="00834AC2">
      <w:pPr>
        <w:numPr>
          <w:ilvl w:val="0"/>
          <w:numId w:val="3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plan estaba cumplido o prácticamente cumplido; </w:t>
      </w:r>
    </w:p>
    <w:p w14:paraId="4ADD838F" w14:textId="77777777" w:rsidR="00834AC2" w:rsidRPr="00834AC2" w:rsidRDefault="00834AC2" w:rsidP="00834AC2">
      <w:pPr>
        <w:numPr>
          <w:ilvl w:val="0"/>
          <w:numId w:val="3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correspondía declarar extinguida la acción penal conforme al art. 5 de la ley y al Decreto 608/2024. </w:t>
      </w:r>
    </w:p>
    <w:p w14:paraId="2F0CF259" w14:textId="77777777" w:rsidR="00834AC2" w:rsidRPr="00834AC2" w:rsidRDefault="004008F7" w:rsidP="00834AC2">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lastRenderedPageBreak/>
        <w:pict w14:anchorId="69587574">
          <v:rect id="_x0000_i1036" style="width:0;height:1.5pt" o:hralign="center" o:hrstd="t" o:hr="t" fillcolor="#a0a0a0" stroked="f"/>
        </w:pict>
      </w:r>
    </w:p>
    <w:p w14:paraId="1EB9FB4E"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b) Fundamentos de la fiscalía</w:t>
      </w:r>
    </w:p>
    <w:p w14:paraId="5FEA90F0"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El Ministerio Público Fiscal sostuvo que no correspondía la extinción de la acción penal porque:</w:t>
      </w:r>
    </w:p>
    <w:p w14:paraId="44C72A78" w14:textId="77777777" w:rsidR="00834AC2" w:rsidRPr="00834AC2" w:rsidRDefault="00834AC2" w:rsidP="00834AC2">
      <w:pPr>
        <w:numPr>
          <w:ilvl w:val="0"/>
          <w:numId w:val="3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las obligaciones denunciadas no habían sido incorporadas válidamente a los planes de facilidades; </w:t>
      </w:r>
    </w:p>
    <w:p w14:paraId="27B50AEC" w14:textId="77777777" w:rsidR="00834AC2" w:rsidRPr="00834AC2" w:rsidRDefault="00834AC2" w:rsidP="00834AC2">
      <w:pPr>
        <w:numPr>
          <w:ilvl w:val="0"/>
          <w:numId w:val="3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persistía deuda pendiente; </w:t>
      </w:r>
    </w:p>
    <w:p w14:paraId="6770C497" w14:textId="77777777" w:rsidR="00834AC2" w:rsidRPr="00834AC2" w:rsidRDefault="00834AC2" w:rsidP="00834AC2">
      <w:pPr>
        <w:numPr>
          <w:ilvl w:val="0"/>
          <w:numId w:val="3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ARCA informó expresamente la subsistencia de deuda. </w:t>
      </w:r>
    </w:p>
    <w:p w14:paraId="6C32D248"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Por ello consideró incumplidos los presupuestos del art. 5 de la Ley 27.743. </w:t>
      </w:r>
    </w:p>
    <w:p w14:paraId="74BA16E7" w14:textId="77777777" w:rsidR="00834AC2" w:rsidRPr="00834AC2" w:rsidRDefault="004008F7" w:rsidP="00834AC2">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19ED170">
          <v:rect id="_x0000_i1037" style="width:0;height:1.5pt" o:hralign="center" o:hrstd="t" o:hr="t" fillcolor="#a0a0a0" stroked="f"/>
        </w:pict>
      </w:r>
    </w:p>
    <w:p w14:paraId="220D9AC6"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c) Querella</w:t>
      </w:r>
    </w:p>
    <w:p w14:paraId="7EF76555"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No surge del fallo la existencia de una querella diferenciada.</w:t>
      </w:r>
    </w:p>
    <w:p w14:paraId="73F7720D"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3. Fundamentos fácticos, jurídicos y doctrinales del voto de cada juez</w:t>
      </w:r>
    </w:p>
    <w:p w14:paraId="76DF4672"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A) Voto del juez Gustavo M. Hornos</w:t>
      </w:r>
    </w:p>
    <w:p w14:paraId="6E9E68A4"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a) Fundamentos procesales</w:t>
      </w:r>
    </w:p>
    <w:p w14:paraId="4E2144B4"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Hornos comenzó señalando que:</w:t>
      </w:r>
    </w:p>
    <w:p w14:paraId="6D55813C" w14:textId="77777777" w:rsidR="00834AC2" w:rsidRPr="00834AC2" w:rsidRDefault="00834AC2" w:rsidP="00834AC2">
      <w:pPr>
        <w:numPr>
          <w:ilvl w:val="0"/>
          <w:numId w:val="4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resolución recurrida no era sentencia definitiva; </w:t>
      </w:r>
    </w:p>
    <w:p w14:paraId="044BBE75" w14:textId="77777777" w:rsidR="00834AC2" w:rsidRPr="00834AC2" w:rsidRDefault="00834AC2" w:rsidP="00834AC2">
      <w:pPr>
        <w:numPr>
          <w:ilvl w:val="0"/>
          <w:numId w:val="4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en principio no era recurrible por casación; </w:t>
      </w:r>
    </w:p>
    <w:p w14:paraId="68D63218" w14:textId="77777777" w:rsidR="00834AC2" w:rsidRPr="00834AC2" w:rsidRDefault="00834AC2" w:rsidP="00834AC2">
      <w:pPr>
        <w:numPr>
          <w:ilvl w:val="0"/>
          <w:numId w:val="4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sin embargo, correspondía examinar la alegada arbitrariedad conforme la doctrina “Di </w:t>
      </w:r>
      <w:proofErr w:type="spellStart"/>
      <w:r w:rsidRPr="00834AC2">
        <w:rPr>
          <w:rFonts w:ascii="Times New Roman" w:eastAsia="Times New Roman" w:hAnsi="Times New Roman" w:cs="Times New Roman"/>
          <w:sz w:val="24"/>
          <w:szCs w:val="24"/>
          <w:lang w:eastAsia="es-AR"/>
        </w:rPr>
        <w:t>Nunzio</w:t>
      </w:r>
      <w:proofErr w:type="spellEnd"/>
      <w:r w:rsidRPr="00834AC2">
        <w:rPr>
          <w:rFonts w:ascii="Times New Roman" w:eastAsia="Times New Roman" w:hAnsi="Times New Roman" w:cs="Times New Roman"/>
          <w:sz w:val="24"/>
          <w:szCs w:val="24"/>
          <w:lang w:eastAsia="es-AR"/>
        </w:rPr>
        <w:t xml:space="preserve">”. </w:t>
      </w:r>
    </w:p>
    <w:p w14:paraId="7C4CA745"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Invocó jurisprudencia de la Corte Suprema sobre:</w:t>
      </w:r>
    </w:p>
    <w:p w14:paraId="23B9F921" w14:textId="77777777" w:rsidR="00834AC2" w:rsidRPr="00834AC2" w:rsidRDefault="00834AC2" w:rsidP="00834AC2">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sentencias definitivas; </w:t>
      </w:r>
    </w:p>
    <w:p w14:paraId="30973298" w14:textId="77777777" w:rsidR="00834AC2" w:rsidRPr="00834AC2" w:rsidRDefault="00834AC2" w:rsidP="00834AC2">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arbitrariedad; </w:t>
      </w:r>
    </w:p>
    <w:p w14:paraId="337CAF43" w14:textId="77777777" w:rsidR="00834AC2" w:rsidRPr="00834AC2" w:rsidRDefault="00834AC2" w:rsidP="00834AC2">
      <w:pPr>
        <w:numPr>
          <w:ilvl w:val="0"/>
          <w:numId w:val="4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control casatorio respecto de la fundamentación de las resoluciones. </w:t>
      </w:r>
    </w:p>
    <w:p w14:paraId="515C601A"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b) Fundamentos fácticos</w:t>
      </w:r>
    </w:p>
    <w:p w14:paraId="5FDF9937"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Valoró especialmente:</w:t>
      </w:r>
    </w:p>
    <w:p w14:paraId="2005AFAB" w14:textId="77777777" w:rsidR="00834AC2" w:rsidRPr="00834AC2" w:rsidRDefault="00834AC2" w:rsidP="00834AC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los informes técnicos emitidos por ARCA; </w:t>
      </w:r>
    </w:p>
    <w:p w14:paraId="1531010D" w14:textId="77777777" w:rsidR="00834AC2" w:rsidRPr="00834AC2" w:rsidRDefault="00834AC2" w:rsidP="00834AC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persistencia de deuda pendiente; </w:t>
      </w:r>
    </w:p>
    <w:p w14:paraId="1401FF9B" w14:textId="77777777" w:rsidR="00834AC2" w:rsidRPr="00834AC2" w:rsidRDefault="00834AC2" w:rsidP="00834AC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que sólo una boleta había sido cancelada; </w:t>
      </w:r>
    </w:p>
    <w:p w14:paraId="2BB79369" w14:textId="77777777" w:rsidR="00834AC2" w:rsidRPr="00834AC2" w:rsidRDefault="00834AC2" w:rsidP="00834AC2">
      <w:pPr>
        <w:numPr>
          <w:ilvl w:val="0"/>
          <w:numId w:val="4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que las obligaciones denunciadas no habían sido incorporadas a la moratoria. </w:t>
      </w:r>
    </w:p>
    <w:p w14:paraId="3C9EDC2A"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lastRenderedPageBreak/>
        <w:t>Consideró que:</w:t>
      </w:r>
    </w:p>
    <w:p w14:paraId="357119DD" w14:textId="77777777" w:rsidR="00834AC2" w:rsidRPr="00834AC2" w:rsidRDefault="00834AC2" w:rsidP="00834AC2">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información provenía del organismo competente; </w:t>
      </w:r>
    </w:p>
    <w:p w14:paraId="4EFA0E9F" w14:textId="77777777" w:rsidR="00834AC2" w:rsidRPr="00834AC2" w:rsidRDefault="00834AC2" w:rsidP="00834AC2">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tribunal oral había requerido específicamente esos informes; </w:t>
      </w:r>
    </w:p>
    <w:p w14:paraId="6A0FD3B5" w14:textId="77777777" w:rsidR="00834AC2" w:rsidRPr="00834AC2" w:rsidRDefault="00834AC2" w:rsidP="00834AC2">
      <w:pPr>
        <w:numPr>
          <w:ilvl w:val="0"/>
          <w:numId w:val="4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documentación defensiva había sido remitida a ARCA para su evaluación. </w:t>
      </w:r>
    </w:p>
    <w:p w14:paraId="7C39C0CF"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c) Fundamentos jurídicos</w:t>
      </w:r>
    </w:p>
    <w:p w14:paraId="4EA6C148"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Sostuvo que:</w:t>
      </w:r>
    </w:p>
    <w:p w14:paraId="6E51B933" w14:textId="77777777" w:rsidR="00834AC2" w:rsidRPr="00834AC2" w:rsidRDefault="00834AC2" w:rsidP="00834AC2">
      <w:pPr>
        <w:numPr>
          <w:ilvl w:val="0"/>
          <w:numId w:val="44"/>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art. 5 de la Ley 27.743 exige cancelación total de la deuda; </w:t>
      </w:r>
    </w:p>
    <w:p w14:paraId="503AD5C2" w14:textId="77777777" w:rsidR="00834AC2" w:rsidRPr="00834AC2" w:rsidRDefault="00834AC2" w:rsidP="00834AC2">
      <w:pPr>
        <w:numPr>
          <w:ilvl w:val="0"/>
          <w:numId w:val="44"/>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información oficial incorporada acreditaba que ello no había ocurrido. </w:t>
      </w:r>
    </w:p>
    <w:p w14:paraId="7C27539B"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También afirmó que:</w:t>
      </w:r>
    </w:p>
    <w:p w14:paraId="0BBF633D" w14:textId="77777777" w:rsidR="00834AC2" w:rsidRPr="00834AC2" w:rsidRDefault="00834AC2" w:rsidP="00834AC2">
      <w:pPr>
        <w:numPr>
          <w:ilvl w:val="0"/>
          <w:numId w:val="45"/>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art. 357 CPPN otorga facultades </w:t>
      </w:r>
      <w:proofErr w:type="spellStart"/>
      <w:r w:rsidRPr="00834AC2">
        <w:rPr>
          <w:rFonts w:ascii="Times New Roman" w:eastAsia="Times New Roman" w:hAnsi="Times New Roman" w:cs="Times New Roman"/>
          <w:sz w:val="24"/>
          <w:szCs w:val="24"/>
          <w:lang w:eastAsia="es-AR"/>
        </w:rPr>
        <w:t>instructorias</w:t>
      </w:r>
      <w:proofErr w:type="spellEnd"/>
      <w:r w:rsidRPr="00834AC2">
        <w:rPr>
          <w:rFonts w:ascii="Times New Roman" w:eastAsia="Times New Roman" w:hAnsi="Times New Roman" w:cs="Times New Roman"/>
          <w:sz w:val="24"/>
          <w:szCs w:val="24"/>
          <w:lang w:eastAsia="es-AR"/>
        </w:rPr>
        <w:t xml:space="preserve"> complementarias, pero no impone una obligación automática de producir nuevas pruebas ante toda discrepancia entre partes. </w:t>
      </w:r>
    </w:p>
    <w:p w14:paraId="484ECD70"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d) Fundamentos doctrinales</w:t>
      </w:r>
    </w:p>
    <w:p w14:paraId="1E14A48D"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Concluyó que:</w:t>
      </w:r>
    </w:p>
    <w:p w14:paraId="18F984E0" w14:textId="77777777" w:rsidR="00834AC2" w:rsidRPr="00834AC2" w:rsidRDefault="00834AC2" w:rsidP="00834AC2">
      <w:pPr>
        <w:numPr>
          <w:ilvl w:val="0"/>
          <w:numId w:val="46"/>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sentencia poseía fundamentación suficiente; </w:t>
      </w:r>
    </w:p>
    <w:p w14:paraId="376B3C13" w14:textId="77777777" w:rsidR="00834AC2" w:rsidRPr="00834AC2" w:rsidRDefault="00834AC2" w:rsidP="00834AC2">
      <w:pPr>
        <w:numPr>
          <w:ilvl w:val="0"/>
          <w:numId w:val="46"/>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defensa sólo expresaba discrepancias valorativas; </w:t>
      </w:r>
    </w:p>
    <w:p w14:paraId="27EC6F4F" w14:textId="77777777" w:rsidR="00834AC2" w:rsidRPr="00834AC2" w:rsidRDefault="00834AC2" w:rsidP="00834AC2">
      <w:pPr>
        <w:numPr>
          <w:ilvl w:val="0"/>
          <w:numId w:val="46"/>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no existía arbitrariedad. </w:t>
      </w:r>
    </w:p>
    <w:p w14:paraId="3476EB56" w14:textId="77777777" w:rsidR="00834AC2" w:rsidRPr="00834AC2" w:rsidRDefault="004008F7" w:rsidP="00834AC2">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44D5778D">
          <v:rect id="_x0000_i1038" style="width:0;height:1.5pt" o:hralign="center" o:hrstd="t" o:hr="t" fillcolor="#a0a0a0" stroked="f"/>
        </w:pict>
      </w:r>
    </w:p>
    <w:p w14:paraId="512F2094"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 xml:space="preserve">B) Voto del juez Mariano Hernán </w:t>
      </w:r>
      <w:proofErr w:type="spellStart"/>
      <w:r w:rsidRPr="00834AC2">
        <w:rPr>
          <w:rFonts w:ascii="Times New Roman" w:eastAsia="Times New Roman" w:hAnsi="Times New Roman" w:cs="Times New Roman"/>
          <w:b/>
          <w:bCs/>
          <w:sz w:val="36"/>
          <w:szCs w:val="36"/>
          <w:lang w:eastAsia="es-AR"/>
        </w:rPr>
        <w:t>Borinsky</w:t>
      </w:r>
      <w:proofErr w:type="spellEnd"/>
    </w:p>
    <w:p w14:paraId="18019B8B"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834AC2">
        <w:rPr>
          <w:rFonts w:ascii="Times New Roman" w:eastAsia="Times New Roman" w:hAnsi="Times New Roman" w:cs="Times New Roman"/>
          <w:sz w:val="24"/>
          <w:szCs w:val="24"/>
          <w:lang w:eastAsia="es-AR"/>
        </w:rPr>
        <w:t>Borinsky</w:t>
      </w:r>
      <w:proofErr w:type="spellEnd"/>
      <w:r w:rsidRPr="00834AC2">
        <w:rPr>
          <w:rFonts w:ascii="Times New Roman" w:eastAsia="Times New Roman" w:hAnsi="Times New Roman" w:cs="Times New Roman"/>
          <w:sz w:val="24"/>
          <w:szCs w:val="24"/>
          <w:lang w:eastAsia="es-AR"/>
        </w:rPr>
        <w:t xml:space="preserve"> coincidió sustancialmente con la solución propuesta por Hornos, aunque desarrolló más extensamente el marco normativo de la Ley 27.743 y del Decreto 608/2024. </w:t>
      </w:r>
    </w:p>
    <w:p w14:paraId="10B8EBCE"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a) Fundamentos fácticos</w:t>
      </w:r>
    </w:p>
    <w:p w14:paraId="213AFC2E"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Analizó detalladamente:</w:t>
      </w:r>
    </w:p>
    <w:p w14:paraId="6EE928FB" w14:textId="77777777" w:rsidR="00834AC2" w:rsidRPr="00834AC2" w:rsidRDefault="00834AC2" w:rsidP="00834AC2">
      <w:pPr>
        <w:numPr>
          <w:ilvl w:val="0"/>
          <w:numId w:val="4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los informes de ARCA; </w:t>
      </w:r>
    </w:p>
    <w:p w14:paraId="01D60ED6" w14:textId="77777777" w:rsidR="00834AC2" w:rsidRPr="00834AC2" w:rsidRDefault="00834AC2" w:rsidP="00834AC2">
      <w:pPr>
        <w:numPr>
          <w:ilvl w:val="0"/>
          <w:numId w:val="4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los planes presentados por NEREIDA S.A.; </w:t>
      </w:r>
    </w:p>
    <w:p w14:paraId="0C03DFB8" w14:textId="77777777" w:rsidR="00834AC2" w:rsidRPr="00834AC2" w:rsidRDefault="00834AC2" w:rsidP="00834AC2">
      <w:pPr>
        <w:numPr>
          <w:ilvl w:val="0"/>
          <w:numId w:val="47"/>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las deudas en gestión administrativa y judicial. </w:t>
      </w:r>
    </w:p>
    <w:p w14:paraId="0BAA3D43"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Destacó que:</w:t>
      </w:r>
    </w:p>
    <w:p w14:paraId="1CFCEC47" w14:textId="77777777" w:rsidR="00834AC2" w:rsidRPr="00834AC2" w:rsidRDefault="00834AC2" w:rsidP="00834AC2">
      <w:pPr>
        <w:numPr>
          <w:ilvl w:val="0"/>
          <w:numId w:val="4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existían planes caducos y cancelados; </w:t>
      </w:r>
    </w:p>
    <w:p w14:paraId="2E012C2D" w14:textId="77777777" w:rsidR="00834AC2" w:rsidRPr="00834AC2" w:rsidRDefault="00834AC2" w:rsidP="00834AC2">
      <w:pPr>
        <w:numPr>
          <w:ilvl w:val="0"/>
          <w:numId w:val="4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las obligaciones denunciadas no habían sido incluidas; </w:t>
      </w:r>
    </w:p>
    <w:p w14:paraId="7E0878C2" w14:textId="77777777" w:rsidR="00834AC2" w:rsidRPr="00834AC2" w:rsidRDefault="00834AC2" w:rsidP="00834AC2">
      <w:pPr>
        <w:numPr>
          <w:ilvl w:val="0"/>
          <w:numId w:val="48"/>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varias boletas de deuda continuaban impagas. </w:t>
      </w:r>
    </w:p>
    <w:p w14:paraId="260DB672"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lastRenderedPageBreak/>
        <w:t>b) Fundamentos jurídicos</w:t>
      </w:r>
    </w:p>
    <w:p w14:paraId="771CF293"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834AC2">
        <w:rPr>
          <w:rFonts w:ascii="Times New Roman" w:eastAsia="Times New Roman" w:hAnsi="Times New Roman" w:cs="Times New Roman"/>
          <w:sz w:val="24"/>
          <w:szCs w:val="24"/>
          <w:lang w:eastAsia="es-AR"/>
        </w:rPr>
        <w:t>Borinsky</w:t>
      </w:r>
      <w:proofErr w:type="spellEnd"/>
      <w:r w:rsidRPr="00834AC2">
        <w:rPr>
          <w:rFonts w:ascii="Times New Roman" w:eastAsia="Times New Roman" w:hAnsi="Times New Roman" w:cs="Times New Roman"/>
          <w:sz w:val="24"/>
          <w:szCs w:val="24"/>
          <w:lang w:eastAsia="es-AR"/>
        </w:rPr>
        <w:t xml:space="preserve"> desarrolló el alcance normativo de:</w:t>
      </w:r>
    </w:p>
    <w:p w14:paraId="2C92F654" w14:textId="77777777" w:rsidR="00834AC2" w:rsidRPr="00834AC2" w:rsidRDefault="00834AC2" w:rsidP="00834AC2">
      <w:pPr>
        <w:numPr>
          <w:ilvl w:val="0"/>
          <w:numId w:val="4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art. 5 Ley 27.743; </w:t>
      </w:r>
    </w:p>
    <w:p w14:paraId="1D00B0FC" w14:textId="77777777" w:rsidR="00834AC2" w:rsidRPr="00834AC2" w:rsidRDefault="00834AC2" w:rsidP="00834AC2">
      <w:pPr>
        <w:numPr>
          <w:ilvl w:val="0"/>
          <w:numId w:val="49"/>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Decreto 608/2024. </w:t>
      </w:r>
    </w:p>
    <w:p w14:paraId="3E927D6D"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Sostuvo que:</w:t>
      </w:r>
    </w:p>
    <w:p w14:paraId="14E29C30" w14:textId="77777777" w:rsidR="00834AC2" w:rsidRPr="00834AC2" w:rsidRDefault="00834AC2" w:rsidP="00834AC2">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extinción de la acción penal exige cancelación total; </w:t>
      </w:r>
    </w:p>
    <w:p w14:paraId="548E8BE4" w14:textId="77777777" w:rsidR="00834AC2" w:rsidRPr="00834AC2" w:rsidRDefault="00834AC2" w:rsidP="00834AC2">
      <w:pPr>
        <w:numPr>
          <w:ilvl w:val="0"/>
          <w:numId w:val="50"/>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beneficio sólo opera respecto de obligaciones efectivamente incluidas o canceladas. </w:t>
      </w:r>
    </w:p>
    <w:p w14:paraId="7B999B57"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Concluyó que:</w:t>
      </w:r>
    </w:p>
    <w:p w14:paraId="4EE95FED" w14:textId="77777777" w:rsidR="00834AC2" w:rsidRPr="00834AC2" w:rsidRDefault="00834AC2" w:rsidP="00834AC2">
      <w:pPr>
        <w:numPr>
          <w:ilvl w:val="0"/>
          <w:numId w:val="5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las constancias objetivas de la causa demostraban deuda pendiente; </w:t>
      </w:r>
    </w:p>
    <w:p w14:paraId="6A11E2BC" w14:textId="77777777" w:rsidR="00834AC2" w:rsidRPr="00834AC2" w:rsidRDefault="00834AC2" w:rsidP="00834AC2">
      <w:pPr>
        <w:numPr>
          <w:ilvl w:val="0"/>
          <w:numId w:val="51"/>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no estaban reunidos los presupuestos legales para extinguir la acción penal. </w:t>
      </w:r>
    </w:p>
    <w:p w14:paraId="4B3425C1" w14:textId="77777777" w:rsidR="00834AC2" w:rsidRPr="00834AC2" w:rsidRDefault="00834AC2" w:rsidP="00834AC2">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834AC2">
        <w:rPr>
          <w:rFonts w:ascii="Times New Roman" w:eastAsia="Times New Roman" w:hAnsi="Times New Roman" w:cs="Times New Roman"/>
          <w:b/>
          <w:bCs/>
          <w:sz w:val="27"/>
          <w:szCs w:val="27"/>
          <w:lang w:eastAsia="es-AR"/>
        </w:rPr>
        <w:t>c) Fundamentos doctrinales</w:t>
      </w:r>
    </w:p>
    <w:p w14:paraId="34F70364"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Destacó el carácter excepcional de la doctrina de arbitrariedad y sostuvo que no se verificaban sus presupuestos.</w:t>
      </w:r>
    </w:p>
    <w:p w14:paraId="0349E740" w14:textId="77777777" w:rsidR="00834AC2" w:rsidRPr="00834AC2" w:rsidRDefault="004008F7" w:rsidP="00834AC2">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4C58291A">
          <v:rect id="_x0000_i1039" style="width:0;height:1.5pt" o:hralign="center" o:hrstd="t" o:hr="t" fillcolor="#a0a0a0" stroked="f"/>
        </w:pict>
      </w:r>
    </w:p>
    <w:p w14:paraId="45394682"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C) Voto del juez Javier Carbajo</w:t>
      </w:r>
    </w:p>
    <w:p w14:paraId="4152D547"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Carbajo adhirió sustancialmente al voto de </w:t>
      </w:r>
      <w:proofErr w:type="spellStart"/>
      <w:r w:rsidRPr="00834AC2">
        <w:rPr>
          <w:rFonts w:ascii="Times New Roman" w:eastAsia="Times New Roman" w:hAnsi="Times New Roman" w:cs="Times New Roman"/>
          <w:sz w:val="24"/>
          <w:szCs w:val="24"/>
          <w:lang w:eastAsia="es-AR"/>
        </w:rPr>
        <w:t>Borinsky</w:t>
      </w:r>
      <w:proofErr w:type="spellEnd"/>
      <w:r w:rsidRPr="00834AC2">
        <w:rPr>
          <w:rFonts w:ascii="Times New Roman" w:eastAsia="Times New Roman" w:hAnsi="Times New Roman" w:cs="Times New Roman"/>
          <w:sz w:val="24"/>
          <w:szCs w:val="24"/>
          <w:lang w:eastAsia="es-AR"/>
        </w:rPr>
        <w:t xml:space="preserve"> y a la solución propuesta. </w:t>
      </w:r>
    </w:p>
    <w:p w14:paraId="21CCCC6D"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Compartió:</w:t>
      </w:r>
    </w:p>
    <w:p w14:paraId="48CB3DF3" w14:textId="77777777" w:rsidR="00834AC2" w:rsidRPr="00834AC2" w:rsidRDefault="00834AC2" w:rsidP="00834AC2">
      <w:pPr>
        <w:numPr>
          <w:ilvl w:val="0"/>
          <w:numId w:val="5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interpretación del régimen de la Ley 27.743; </w:t>
      </w:r>
    </w:p>
    <w:p w14:paraId="381470A4" w14:textId="77777777" w:rsidR="00834AC2" w:rsidRPr="00834AC2" w:rsidRDefault="00834AC2" w:rsidP="00834AC2">
      <w:pPr>
        <w:numPr>
          <w:ilvl w:val="0"/>
          <w:numId w:val="5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valoración de los informes de ARCA; </w:t>
      </w:r>
    </w:p>
    <w:p w14:paraId="0332037F" w14:textId="77777777" w:rsidR="00834AC2" w:rsidRPr="00834AC2" w:rsidRDefault="00834AC2" w:rsidP="00834AC2">
      <w:pPr>
        <w:numPr>
          <w:ilvl w:val="0"/>
          <w:numId w:val="5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la inexistencia de cancelación total; </w:t>
      </w:r>
    </w:p>
    <w:p w14:paraId="30BCD04A" w14:textId="77777777" w:rsidR="00834AC2" w:rsidRPr="00834AC2" w:rsidRDefault="00834AC2" w:rsidP="00834AC2">
      <w:pPr>
        <w:numPr>
          <w:ilvl w:val="0"/>
          <w:numId w:val="52"/>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el rechazo del recurso defensivo. </w:t>
      </w:r>
    </w:p>
    <w:p w14:paraId="568F86B8" w14:textId="77777777" w:rsidR="00834AC2" w:rsidRPr="00834AC2" w:rsidRDefault="00834AC2" w:rsidP="00834AC2">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834AC2">
        <w:rPr>
          <w:rFonts w:ascii="Times New Roman" w:eastAsia="Times New Roman" w:hAnsi="Times New Roman" w:cs="Times New Roman"/>
          <w:b/>
          <w:bCs/>
          <w:sz w:val="36"/>
          <w:szCs w:val="36"/>
          <w:lang w:eastAsia="es-AR"/>
        </w:rPr>
        <w:t>4. Resolución de la causa</w:t>
      </w:r>
    </w:p>
    <w:p w14:paraId="5B301789" w14:textId="77777777" w:rsidR="00834AC2" w:rsidRPr="00834AC2" w:rsidRDefault="00834AC2" w:rsidP="00834AC2">
      <w:p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La Sala IV de la Cámara Federal de Casación Penal resolvió:</w:t>
      </w:r>
    </w:p>
    <w:p w14:paraId="5F03C2AD" w14:textId="77777777" w:rsidR="00834AC2" w:rsidRPr="00834AC2" w:rsidRDefault="00834AC2" w:rsidP="00834AC2">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 xml:space="preserve">rechazar el recurso de casación interpuesto por la defensa de Daniel Rubén </w:t>
      </w:r>
      <w:proofErr w:type="spellStart"/>
      <w:r w:rsidRPr="00834AC2">
        <w:rPr>
          <w:rFonts w:ascii="Times New Roman" w:eastAsia="Times New Roman" w:hAnsi="Times New Roman" w:cs="Times New Roman"/>
          <w:sz w:val="24"/>
          <w:szCs w:val="24"/>
          <w:lang w:eastAsia="es-AR"/>
        </w:rPr>
        <w:t>Leta</w:t>
      </w:r>
      <w:proofErr w:type="spellEnd"/>
      <w:r w:rsidRPr="00834AC2">
        <w:rPr>
          <w:rFonts w:ascii="Times New Roman" w:eastAsia="Times New Roman" w:hAnsi="Times New Roman" w:cs="Times New Roman"/>
          <w:sz w:val="24"/>
          <w:szCs w:val="24"/>
          <w:lang w:eastAsia="es-AR"/>
        </w:rPr>
        <w:t xml:space="preserve">; </w:t>
      </w:r>
    </w:p>
    <w:p w14:paraId="2E5053DF" w14:textId="77777777" w:rsidR="00834AC2" w:rsidRPr="00834AC2" w:rsidRDefault="00834AC2" w:rsidP="00834AC2">
      <w:pPr>
        <w:numPr>
          <w:ilvl w:val="0"/>
          <w:numId w:val="53"/>
        </w:numPr>
        <w:spacing w:before="100" w:beforeAutospacing="1" w:after="100" w:afterAutospacing="1" w:line="240" w:lineRule="auto"/>
        <w:rPr>
          <w:rFonts w:ascii="Times New Roman" w:eastAsia="Times New Roman" w:hAnsi="Times New Roman" w:cs="Times New Roman"/>
          <w:sz w:val="24"/>
          <w:szCs w:val="24"/>
          <w:lang w:eastAsia="es-AR"/>
        </w:rPr>
      </w:pPr>
      <w:r w:rsidRPr="00834AC2">
        <w:rPr>
          <w:rFonts w:ascii="Times New Roman" w:eastAsia="Times New Roman" w:hAnsi="Times New Roman" w:cs="Times New Roman"/>
          <w:sz w:val="24"/>
          <w:szCs w:val="24"/>
          <w:lang w:eastAsia="es-AR"/>
        </w:rPr>
        <w:t>confirmar el rechazo del pedido de sobreseimiento y de extinción de la acción penal</w:t>
      </w:r>
    </w:p>
    <w:p w14:paraId="277DFE7F" w14:textId="77777777" w:rsidR="00680BBF" w:rsidRDefault="00680BBF" w:rsidP="00A245F2"/>
    <w:p w14:paraId="3169273D" w14:textId="77777777" w:rsidR="00394A81" w:rsidRDefault="00394A81" w:rsidP="00E45627">
      <w:pPr>
        <w:spacing w:before="100" w:beforeAutospacing="1" w:after="100" w:afterAutospacing="1" w:line="240" w:lineRule="auto"/>
        <w:rPr>
          <w:rFonts w:ascii="Times New Roman" w:eastAsia="Times New Roman" w:hAnsi="Times New Roman" w:cs="Times New Roman"/>
          <w:sz w:val="24"/>
          <w:szCs w:val="24"/>
          <w:lang w:eastAsia="es-AR"/>
        </w:rPr>
      </w:pPr>
    </w:p>
    <w:p w14:paraId="308E1BEE" w14:textId="0467DC93" w:rsidR="00394A81" w:rsidRPr="00394A81" w:rsidRDefault="00394A81" w:rsidP="00394A81">
      <w:pPr>
        <w:spacing w:before="100" w:beforeAutospacing="1" w:after="100" w:afterAutospacing="1" w:line="240" w:lineRule="auto"/>
        <w:jc w:val="both"/>
        <w:rPr>
          <w:rFonts w:ascii="Times New Roman" w:eastAsia="Times New Roman" w:hAnsi="Times New Roman" w:cs="Times New Roman"/>
          <w:b/>
          <w:bCs/>
          <w:sz w:val="24"/>
          <w:szCs w:val="24"/>
          <w:u w:val="single"/>
          <w:lang w:eastAsia="es-AR"/>
        </w:rPr>
      </w:pPr>
      <w:r w:rsidRPr="00394A81">
        <w:rPr>
          <w:rFonts w:ascii="Times New Roman" w:eastAsia="Times New Roman" w:hAnsi="Times New Roman" w:cs="Times New Roman"/>
          <w:b/>
          <w:bCs/>
          <w:sz w:val="24"/>
          <w:szCs w:val="24"/>
          <w:u w:val="single"/>
          <w:lang w:eastAsia="es-AR"/>
        </w:rPr>
        <w:lastRenderedPageBreak/>
        <w:t>FALLO IV. I</w:t>
      </w:r>
      <w:r w:rsidR="00E45627" w:rsidRPr="00394A81">
        <w:rPr>
          <w:rFonts w:ascii="Times New Roman" w:eastAsia="Times New Roman" w:hAnsi="Times New Roman" w:cs="Times New Roman"/>
          <w:b/>
          <w:bCs/>
          <w:sz w:val="24"/>
          <w:szCs w:val="24"/>
          <w:u w:val="single"/>
          <w:lang w:eastAsia="es-AR"/>
        </w:rPr>
        <w:t>ncidente “R.S.J.M. sobre infracción ley 24.769</w:t>
      </w:r>
      <w:proofErr w:type="gramStart"/>
      <w:r w:rsidR="00E45627" w:rsidRPr="00394A81">
        <w:rPr>
          <w:rFonts w:ascii="Times New Roman" w:eastAsia="Times New Roman" w:hAnsi="Times New Roman" w:cs="Times New Roman"/>
          <w:b/>
          <w:bCs/>
          <w:sz w:val="24"/>
          <w:szCs w:val="24"/>
          <w:u w:val="single"/>
          <w:lang w:eastAsia="es-AR"/>
        </w:rPr>
        <w:t xml:space="preserve">” </w:t>
      </w:r>
      <w:r w:rsidRPr="00394A81">
        <w:rPr>
          <w:rFonts w:ascii="Times New Roman" w:eastAsia="Times New Roman" w:hAnsi="Times New Roman" w:cs="Times New Roman"/>
          <w:b/>
          <w:bCs/>
          <w:sz w:val="24"/>
          <w:szCs w:val="24"/>
          <w:u w:val="single"/>
          <w:lang w:eastAsia="es-AR"/>
        </w:rPr>
        <w:t xml:space="preserve"> </w:t>
      </w:r>
      <w:r w:rsidR="00E45627" w:rsidRPr="00394A81">
        <w:rPr>
          <w:rFonts w:ascii="Times New Roman" w:eastAsia="Times New Roman" w:hAnsi="Times New Roman" w:cs="Times New Roman"/>
          <w:b/>
          <w:bCs/>
          <w:sz w:val="24"/>
          <w:szCs w:val="24"/>
          <w:u w:val="single"/>
          <w:lang w:eastAsia="es-AR"/>
        </w:rPr>
        <w:t>Sala</w:t>
      </w:r>
      <w:proofErr w:type="gramEnd"/>
      <w:r w:rsidR="00E45627" w:rsidRPr="00394A81">
        <w:rPr>
          <w:rFonts w:ascii="Times New Roman" w:eastAsia="Times New Roman" w:hAnsi="Times New Roman" w:cs="Times New Roman"/>
          <w:b/>
          <w:bCs/>
          <w:sz w:val="24"/>
          <w:szCs w:val="24"/>
          <w:u w:val="single"/>
          <w:lang w:eastAsia="es-AR"/>
        </w:rPr>
        <w:t xml:space="preserve"> “A” Cámara Nacional de Apelaciones en lo Penal Económico</w:t>
      </w:r>
      <w:r w:rsidRPr="00394A81">
        <w:rPr>
          <w:rFonts w:ascii="Times New Roman" w:eastAsia="Times New Roman" w:hAnsi="Times New Roman" w:cs="Times New Roman"/>
          <w:b/>
          <w:bCs/>
          <w:sz w:val="24"/>
          <w:szCs w:val="24"/>
          <w:u w:val="single"/>
          <w:lang w:eastAsia="es-AR"/>
        </w:rPr>
        <w:t>. 27/04/2026</w:t>
      </w:r>
    </w:p>
    <w:p w14:paraId="34A8F893" w14:textId="05A4D7C5" w:rsidR="00E45627" w:rsidRPr="00E45627" w:rsidRDefault="00394A81" w:rsidP="00E45627">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Se </w:t>
      </w:r>
      <w:r w:rsidR="00E45627" w:rsidRPr="00E45627">
        <w:rPr>
          <w:rFonts w:ascii="Times New Roman" w:eastAsia="Times New Roman" w:hAnsi="Times New Roman" w:cs="Times New Roman"/>
          <w:sz w:val="24"/>
          <w:szCs w:val="24"/>
          <w:lang w:eastAsia="es-AR"/>
        </w:rPr>
        <w:t xml:space="preserve">analizó el recurso de apelación interpuesto por ARCA contra el sobreseimiento dictado en favor de J.M.R.S. por aplicación del régimen de regularización previsto en la Ley 27.743. </w:t>
      </w:r>
    </w:p>
    <w:p w14:paraId="5154E05D"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1. Antecedentes fácticos y jurídicos que llevan a la apelación</w:t>
      </w:r>
    </w:p>
    <w:p w14:paraId="40303C22"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a) Antecedentes fácticos</w:t>
      </w:r>
    </w:p>
    <w:p w14:paraId="157FB0DB"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jueza de primera instancia había dispuesto el sobreseimiento de J.M.R.S. respecto de la imputación consistente en la omisión de depósito, dentro del plazo legal, de retenciones practicadas a empleados de la firma R.O.S.A. destinadas al Sistema Único de la Seguridad Social, correspondientes a los períodos mensuales 8/2015 a 4/2016. </w:t>
      </w:r>
    </w:p>
    <w:p w14:paraId="5EB0867E"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resolución fue dictada:</w:t>
      </w:r>
    </w:p>
    <w:p w14:paraId="35246DCF" w14:textId="77777777" w:rsidR="00E45627" w:rsidRPr="00E45627" w:rsidRDefault="00E45627" w:rsidP="00E45627">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a pedido de la defensa; </w:t>
      </w:r>
    </w:p>
    <w:p w14:paraId="51957677" w14:textId="77777777" w:rsidR="00E45627" w:rsidRPr="00E45627" w:rsidRDefault="00E45627" w:rsidP="00E45627">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con conformidad del Ministerio Público Fiscal; </w:t>
      </w:r>
    </w:p>
    <w:p w14:paraId="6DEE8C05" w14:textId="77777777" w:rsidR="00E45627" w:rsidRPr="00E45627" w:rsidRDefault="00E45627" w:rsidP="00E45627">
      <w:pPr>
        <w:numPr>
          <w:ilvl w:val="0"/>
          <w:numId w:val="5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en función del art. 5 de la Ley 27.743. </w:t>
      </w:r>
    </w:p>
    <w:p w14:paraId="737E7F05"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Se encontraba acreditado y no controvertido que:</w:t>
      </w:r>
    </w:p>
    <w:p w14:paraId="56DBCF89" w14:textId="77777777" w:rsidR="00E45627" w:rsidRPr="00E45627" w:rsidRDefault="00E45627" w:rsidP="00E45627">
      <w:pPr>
        <w:numPr>
          <w:ilvl w:val="0"/>
          <w:numId w:val="5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J.M.R.S., como responsable solidario de R.O.S.A., canceló la deuda correspondiente a aportes al Régimen Nacional de la Seguridad Social; </w:t>
      </w:r>
    </w:p>
    <w:p w14:paraId="49B5AA30" w14:textId="77777777" w:rsidR="00E45627" w:rsidRPr="00E45627" w:rsidRDefault="00E45627" w:rsidP="00E45627">
      <w:pPr>
        <w:numPr>
          <w:ilvl w:val="0"/>
          <w:numId w:val="5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dicha cancelación se produjo antes de la entrada en vigencia de la Ley 27.743. </w:t>
      </w:r>
    </w:p>
    <w:p w14:paraId="594ED119"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También surgía que permanecían impagos:</w:t>
      </w:r>
    </w:p>
    <w:p w14:paraId="3FB887DF" w14:textId="77777777" w:rsidR="00E45627" w:rsidRPr="00E45627" w:rsidRDefault="00E45627" w:rsidP="00E45627">
      <w:pPr>
        <w:numPr>
          <w:ilvl w:val="0"/>
          <w:numId w:val="56"/>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aportes destinados al Régimen Nacional de Obras Sociales correspondientes a esos períodos. </w:t>
      </w:r>
    </w:p>
    <w:p w14:paraId="25413D0C"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Asimismo, constaba que:</w:t>
      </w:r>
    </w:p>
    <w:p w14:paraId="52CFB054" w14:textId="77777777" w:rsidR="00E45627" w:rsidRPr="00E45627" w:rsidRDefault="00E45627" w:rsidP="00E45627">
      <w:pPr>
        <w:numPr>
          <w:ilvl w:val="0"/>
          <w:numId w:val="57"/>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J.M.R.S. había sido procesado; </w:t>
      </w:r>
    </w:p>
    <w:p w14:paraId="04AC5E7C" w14:textId="77777777" w:rsidR="00E45627" w:rsidRPr="00E45627" w:rsidRDefault="00E45627" w:rsidP="00E45627">
      <w:pPr>
        <w:numPr>
          <w:ilvl w:val="0"/>
          <w:numId w:val="57"/>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causa había sido elevada a juicio oral en otro expediente acumulado jurídicamente. </w:t>
      </w:r>
    </w:p>
    <w:p w14:paraId="63B177F6" w14:textId="77777777" w:rsidR="00E45627" w:rsidRPr="00E45627" w:rsidRDefault="004008F7" w:rsidP="00E45627">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91D572A">
          <v:rect id="_x0000_i1040" style="width:0;height:1.5pt" o:hralign="center" o:hrstd="t" o:hr="t" fillcolor="#a0a0a0" stroked="f"/>
        </w:pict>
      </w:r>
    </w:p>
    <w:p w14:paraId="2A540C0F"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b) Antecedentes jurídicos</w:t>
      </w:r>
    </w:p>
    <w:p w14:paraId="755F604E"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controversia jurídica giró alrededor de:</w:t>
      </w:r>
    </w:p>
    <w:p w14:paraId="66FE8DC4" w14:textId="77777777" w:rsidR="00E45627" w:rsidRPr="00E45627" w:rsidRDefault="00E45627" w:rsidP="00E45627">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interpretación de los arts. 4 y 5 de la Ley 27.743; </w:t>
      </w:r>
    </w:p>
    <w:p w14:paraId="4E9174BD" w14:textId="77777777" w:rsidR="00E45627" w:rsidRPr="00E45627" w:rsidRDefault="00E45627" w:rsidP="00E45627">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el alcance de las causales de exclusión del régimen; </w:t>
      </w:r>
    </w:p>
    <w:p w14:paraId="3D385D03" w14:textId="77777777" w:rsidR="00E45627" w:rsidRPr="00E45627" w:rsidRDefault="00E45627" w:rsidP="00E45627">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incidencia de las deudas vinculadas a obras sociales; </w:t>
      </w:r>
    </w:p>
    <w:p w14:paraId="36551A93" w14:textId="77777777" w:rsidR="00E45627" w:rsidRPr="00E45627" w:rsidRDefault="00E45627" w:rsidP="00E45627">
      <w:pPr>
        <w:numPr>
          <w:ilvl w:val="0"/>
          <w:numId w:val="58"/>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lastRenderedPageBreak/>
        <w:t xml:space="preserve">y la posibilidad de extinguir la acción penal respecto de delitos vinculados a recursos de la seguridad social. </w:t>
      </w:r>
    </w:p>
    <w:p w14:paraId="79E9551D"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discusión central consistía en determinar:</w:t>
      </w:r>
    </w:p>
    <w:p w14:paraId="07731FF7" w14:textId="77777777" w:rsidR="00E45627" w:rsidRPr="00E45627" w:rsidRDefault="00E45627" w:rsidP="00E45627">
      <w:pPr>
        <w:numPr>
          <w:ilvl w:val="0"/>
          <w:numId w:val="59"/>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E45627">
        <w:rPr>
          <w:rFonts w:ascii="Times New Roman" w:eastAsia="Times New Roman" w:hAnsi="Times New Roman" w:cs="Times New Roman"/>
          <w:sz w:val="24"/>
          <w:szCs w:val="24"/>
          <w:lang w:eastAsia="es-AR"/>
        </w:rPr>
        <w:t>si</w:t>
      </w:r>
      <w:proofErr w:type="spellEnd"/>
      <w:r w:rsidRPr="00E45627">
        <w:rPr>
          <w:rFonts w:ascii="Times New Roman" w:eastAsia="Times New Roman" w:hAnsi="Times New Roman" w:cs="Times New Roman"/>
          <w:sz w:val="24"/>
          <w:szCs w:val="24"/>
          <w:lang w:eastAsia="es-AR"/>
        </w:rPr>
        <w:t xml:space="preserve"> J.M.R.S. se encontraba excluido del régimen por aplicación del art. 4 inc. m) de la Ley 27.743; </w:t>
      </w:r>
    </w:p>
    <w:p w14:paraId="669E05E5" w14:textId="77777777" w:rsidR="00E45627" w:rsidRPr="00E45627" w:rsidRDefault="00E45627" w:rsidP="00E45627">
      <w:pPr>
        <w:numPr>
          <w:ilvl w:val="0"/>
          <w:numId w:val="59"/>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si la existencia de deuda por obras sociales impedía la extinción de la acción penal; </w:t>
      </w:r>
    </w:p>
    <w:p w14:paraId="575500C0" w14:textId="77777777" w:rsidR="00E45627" w:rsidRPr="00E45627" w:rsidRDefault="00E45627" w:rsidP="00E45627">
      <w:pPr>
        <w:numPr>
          <w:ilvl w:val="0"/>
          <w:numId w:val="59"/>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si la elevación a juicio oral previa constituía un obstáculo para acceder al beneficio. </w:t>
      </w:r>
    </w:p>
    <w:p w14:paraId="730AA86E"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2. Fundamentos de la apelación de las partes</w:t>
      </w:r>
    </w:p>
    <w:p w14:paraId="7AEC6643"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a) Fundamentos de la querella (ARCA)</w:t>
      </w:r>
    </w:p>
    <w:p w14:paraId="5A1C2488"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ARCA apeló el sobreseimiento. </w:t>
      </w:r>
    </w:p>
    <w:p w14:paraId="04B2498E"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Sostuvo que J.M.R.S. estaba excluido del régimen de regularización por aplicación del art. 4 inc. m) de la Ley 27.743 porque:</w:t>
      </w:r>
    </w:p>
    <w:p w14:paraId="46BC7F63" w14:textId="77777777" w:rsidR="00E45627" w:rsidRPr="00E45627" w:rsidRDefault="00E45627" w:rsidP="00E45627">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actuó como empleador y agente de retención; </w:t>
      </w:r>
    </w:p>
    <w:p w14:paraId="486FD8A6" w14:textId="77777777" w:rsidR="00E45627" w:rsidRPr="00E45627" w:rsidRDefault="00E45627" w:rsidP="00E45627">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tenía procesamiento firme; </w:t>
      </w:r>
    </w:p>
    <w:p w14:paraId="05D7306D" w14:textId="77777777" w:rsidR="00E45627" w:rsidRPr="00E45627" w:rsidRDefault="00E45627" w:rsidP="00E45627">
      <w:pPr>
        <w:numPr>
          <w:ilvl w:val="0"/>
          <w:numId w:val="60"/>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causa había sido elevada a juicio oral. </w:t>
      </w:r>
    </w:p>
    <w:p w14:paraId="2B696A17"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querella sostuvo que la situación procesal del imputado impedía jurídicamente acceder al beneficio extintivo previsto en el régimen.</w:t>
      </w:r>
    </w:p>
    <w:p w14:paraId="0617B971" w14:textId="77777777" w:rsidR="00E45627" w:rsidRPr="00E45627" w:rsidRDefault="004008F7" w:rsidP="00E45627">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45A58F65">
          <v:rect id="_x0000_i1041" style="width:0;height:1.5pt" o:hralign="center" o:hrstd="t" o:hr="t" fillcolor="#a0a0a0" stroked="f"/>
        </w:pict>
      </w:r>
    </w:p>
    <w:p w14:paraId="5731E9A8"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b) Fundamentos de la fiscalía</w:t>
      </w:r>
    </w:p>
    <w:p w14:paraId="30DDC86B"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El Ministerio Público Fiscal, en la instancia anterior, había dictaminado a favor del sobreseimiento. </w:t>
      </w:r>
    </w:p>
    <w:p w14:paraId="475E8A69"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Su postura coincidía con la interpretación de que:</w:t>
      </w:r>
    </w:p>
    <w:p w14:paraId="10F0BA4F" w14:textId="77777777" w:rsidR="00E45627" w:rsidRPr="00E45627" w:rsidRDefault="00E45627" w:rsidP="00E45627">
      <w:pPr>
        <w:numPr>
          <w:ilvl w:val="0"/>
          <w:numId w:val="61"/>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cancelación de los aportes y contribuciones habilitaba la extinción penal; </w:t>
      </w:r>
    </w:p>
    <w:p w14:paraId="7E282C35" w14:textId="77777777" w:rsidR="00E45627" w:rsidRPr="00E45627" w:rsidRDefault="00E45627" w:rsidP="00E45627">
      <w:pPr>
        <w:numPr>
          <w:ilvl w:val="0"/>
          <w:numId w:val="61"/>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deuda remanente correspondiente a obras sociales no impedía el beneficio; </w:t>
      </w:r>
    </w:p>
    <w:p w14:paraId="6634E057" w14:textId="77777777" w:rsidR="00E45627" w:rsidRPr="00E45627" w:rsidRDefault="00E45627" w:rsidP="00E45627">
      <w:pPr>
        <w:numPr>
          <w:ilvl w:val="0"/>
          <w:numId w:val="61"/>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correspondía aplicar el art. 5 de la Ley 27.743. </w:t>
      </w:r>
    </w:p>
    <w:p w14:paraId="158F69D0" w14:textId="77777777" w:rsidR="00E45627" w:rsidRPr="00E45627" w:rsidRDefault="004008F7" w:rsidP="00E45627">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7B7AE4D0">
          <v:rect id="_x0000_i1042" style="width:0;height:1.5pt" o:hralign="center" o:hrstd="t" o:hr="t" fillcolor="#a0a0a0" stroked="f"/>
        </w:pict>
      </w:r>
    </w:p>
    <w:p w14:paraId="39DAFBDF"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c) Fundamentos de la defensa</w:t>
      </w:r>
    </w:p>
    <w:p w14:paraId="20FD7367"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defensa sostuvo que:</w:t>
      </w:r>
    </w:p>
    <w:p w14:paraId="364104A5" w14:textId="77777777" w:rsidR="00E45627" w:rsidRPr="00E45627" w:rsidRDefault="00E45627" w:rsidP="00E45627">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deuda principal correspondiente a recursos de la seguridad social había sido cancelada; </w:t>
      </w:r>
    </w:p>
    <w:p w14:paraId="775BF9B1" w14:textId="77777777" w:rsidR="00E45627" w:rsidRPr="00E45627" w:rsidRDefault="00E45627" w:rsidP="00E45627">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lastRenderedPageBreak/>
        <w:t xml:space="preserve">la situación encuadraba en el régimen de regularización de la Ley 27.743; </w:t>
      </w:r>
    </w:p>
    <w:p w14:paraId="1E86EDA5" w14:textId="77777777" w:rsidR="00E45627" w:rsidRPr="00E45627" w:rsidRDefault="00E45627" w:rsidP="00E45627">
      <w:pPr>
        <w:numPr>
          <w:ilvl w:val="0"/>
          <w:numId w:val="62"/>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debía declararse extinguida la acción penal. </w:t>
      </w:r>
    </w:p>
    <w:p w14:paraId="39578D9C"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También sostuvo implícitamente que:</w:t>
      </w:r>
    </w:p>
    <w:p w14:paraId="6EE07C20" w14:textId="77777777" w:rsidR="00E45627" w:rsidRPr="00E45627" w:rsidRDefault="00E45627" w:rsidP="00E45627">
      <w:pPr>
        <w:numPr>
          <w:ilvl w:val="0"/>
          <w:numId w:val="63"/>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deuda por obras sociales no impedía el acogimiento; </w:t>
      </w:r>
    </w:p>
    <w:p w14:paraId="3506CB64" w14:textId="77777777" w:rsidR="00E45627" w:rsidRPr="00E45627" w:rsidRDefault="00E45627" w:rsidP="00E45627">
      <w:pPr>
        <w:numPr>
          <w:ilvl w:val="0"/>
          <w:numId w:val="63"/>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no existían causales vigentes de exclusión. </w:t>
      </w:r>
    </w:p>
    <w:p w14:paraId="60B5873B"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3. Fundamentos fácticos, jurídicos y doctrinales del voto de los jueces</w:t>
      </w:r>
    </w:p>
    <w:p w14:paraId="2F11BC59"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sentencia fue dictada por los jueces Roberto Enrique Hornos y Carolina </w:t>
      </w:r>
      <w:proofErr w:type="spellStart"/>
      <w:r w:rsidRPr="00E45627">
        <w:rPr>
          <w:rFonts w:ascii="Times New Roman" w:eastAsia="Times New Roman" w:hAnsi="Times New Roman" w:cs="Times New Roman"/>
          <w:sz w:val="24"/>
          <w:szCs w:val="24"/>
          <w:lang w:eastAsia="es-AR"/>
        </w:rPr>
        <w:t>Robiglio</w:t>
      </w:r>
      <w:proofErr w:type="spellEnd"/>
      <w:r w:rsidRPr="00E45627">
        <w:rPr>
          <w:rFonts w:ascii="Times New Roman" w:eastAsia="Times New Roman" w:hAnsi="Times New Roman" w:cs="Times New Roman"/>
          <w:sz w:val="24"/>
          <w:szCs w:val="24"/>
          <w:lang w:eastAsia="es-AR"/>
        </w:rPr>
        <w:t xml:space="preserve">, quienes suscribieron una decisión conjunta. </w:t>
      </w:r>
    </w:p>
    <w:p w14:paraId="56737AF9"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A) Fundamentos fácticos</w:t>
      </w:r>
    </w:p>
    <w:p w14:paraId="274177BA"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El tribunal tuvo especialmente acreditado que:</w:t>
      </w:r>
    </w:p>
    <w:p w14:paraId="159AE92C" w14:textId="77777777" w:rsidR="00E45627" w:rsidRPr="00E45627" w:rsidRDefault="00E45627" w:rsidP="00E45627">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J.M.R.S. canceló la deuda relativa a aportes al Sistema Único de la Seguridad Social; </w:t>
      </w:r>
    </w:p>
    <w:p w14:paraId="72F00536" w14:textId="77777777" w:rsidR="00E45627" w:rsidRPr="00E45627" w:rsidRDefault="00E45627" w:rsidP="00E45627">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permanecían únicamente impagos conceptos vinculados a obras sociales; </w:t>
      </w:r>
    </w:p>
    <w:p w14:paraId="7D04ECB6" w14:textId="77777777" w:rsidR="00E45627" w:rsidRPr="00E45627" w:rsidRDefault="00E45627" w:rsidP="00E45627">
      <w:pPr>
        <w:numPr>
          <w:ilvl w:val="0"/>
          <w:numId w:val="6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esos importes no superaban la condición objetiva de punibilidad prevista actualmente por el art. 7 del Régimen Penal Tributario. </w:t>
      </w:r>
    </w:p>
    <w:p w14:paraId="40FA0B50"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También valoró que:</w:t>
      </w:r>
    </w:p>
    <w:p w14:paraId="5390C604" w14:textId="77777777" w:rsidR="00E45627" w:rsidRPr="00E45627" w:rsidRDefault="00E45627" w:rsidP="00E45627">
      <w:pPr>
        <w:numPr>
          <w:ilvl w:val="0"/>
          <w:numId w:val="6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existía un sobreseimiento previo respecto de hechos similares; </w:t>
      </w:r>
    </w:p>
    <w:p w14:paraId="74096C01" w14:textId="77777777" w:rsidR="00E45627" w:rsidRPr="00E45627" w:rsidRDefault="00E45627" w:rsidP="00E45627">
      <w:pPr>
        <w:numPr>
          <w:ilvl w:val="0"/>
          <w:numId w:val="6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dicho sobreseimiento había sido confirmado; </w:t>
      </w:r>
    </w:p>
    <w:p w14:paraId="2881596D" w14:textId="77777777" w:rsidR="00E45627" w:rsidRPr="00E45627" w:rsidRDefault="00E45627" w:rsidP="00E45627">
      <w:pPr>
        <w:numPr>
          <w:ilvl w:val="0"/>
          <w:numId w:val="6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queja pendiente ante la Corte Suprema carecía de efecto suspensivo. </w:t>
      </w:r>
    </w:p>
    <w:p w14:paraId="05507634"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B) Fundamentos jurídicos</w:t>
      </w:r>
    </w:p>
    <w:p w14:paraId="7AD366EE"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i. Interpretación del régimen de la Ley 27.743</w:t>
      </w:r>
    </w:p>
    <w:p w14:paraId="1B20A197"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El tribunal realizó un análisis exhaustivo de:</w:t>
      </w:r>
    </w:p>
    <w:p w14:paraId="4DE3CB56" w14:textId="77777777" w:rsidR="00E45627" w:rsidRPr="00E45627" w:rsidRDefault="00E45627" w:rsidP="00E45627">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arts. 1, 2, 3, 4 y 5 de la Ley 27.743; </w:t>
      </w:r>
    </w:p>
    <w:p w14:paraId="36FC85E6" w14:textId="77777777" w:rsidR="00E45627" w:rsidRPr="00E45627" w:rsidRDefault="00E45627" w:rsidP="00E45627">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decreto 2284/91; </w:t>
      </w:r>
    </w:p>
    <w:p w14:paraId="10A9925D" w14:textId="77777777" w:rsidR="00E45627" w:rsidRPr="00E45627" w:rsidRDefault="00E45627" w:rsidP="00E45627">
      <w:pPr>
        <w:numPr>
          <w:ilvl w:val="0"/>
          <w:numId w:val="66"/>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régimen del Sistema Único de la Seguridad Social. </w:t>
      </w:r>
    </w:p>
    <w:p w14:paraId="5460AA0A"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Explicó que:</w:t>
      </w:r>
    </w:p>
    <w:p w14:paraId="1B681A93" w14:textId="77777777" w:rsidR="00E45627" w:rsidRPr="00E45627" w:rsidRDefault="00E45627" w:rsidP="00E45627">
      <w:pPr>
        <w:numPr>
          <w:ilvl w:val="0"/>
          <w:numId w:val="67"/>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el Sistema Único de la Seguridad Social comprende diversos subsistemas; </w:t>
      </w:r>
    </w:p>
    <w:p w14:paraId="03D0442F" w14:textId="77777777" w:rsidR="00E45627" w:rsidRPr="00E45627" w:rsidRDefault="00E45627" w:rsidP="00E45627">
      <w:pPr>
        <w:numPr>
          <w:ilvl w:val="0"/>
          <w:numId w:val="67"/>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entre ellos se encuentra el Régimen Nacional de Obras Sociales. </w:t>
      </w:r>
    </w:p>
    <w:p w14:paraId="67D47D30"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Sin embargo, sostuvo que:</w:t>
      </w:r>
    </w:p>
    <w:p w14:paraId="5DD38A87" w14:textId="77777777" w:rsidR="00E45627" w:rsidRPr="00E45627" w:rsidRDefault="00E45627" w:rsidP="00E45627">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lastRenderedPageBreak/>
        <w:t xml:space="preserve">la Ley 27.743 excluye específicamente a las obligaciones de obras sociales del acogimiento; </w:t>
      </w:r>
    </w:p>
    <w:p w14:paraId="1776530F" w14:textId="77777777" w:rsidR="00E45627" w:rsidRPr="00E45627" w:rsidRDefault="00E45627" w:rsidP="00E45627">
      <w:pPr>
        <w:numPr>
          <w:ilvl w:val="0"/>
          <w:numId w:val="68"/>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pero el art. 5 prevé expresamente que la acción penal puede </w:t>
      </w:r>
      <w:proofErr w:type="gramStart"/>
      <w:r w:rsidRPr="00E45627">
        <w:rPr>
          <w:rFonts w:ascii="Times New Roman" w:eastAsia="Times New Roman" w:hAnsi="Times New Roman" w:cs="Times New Roman"/>
          <w:sz w:val="24"/>
          <w:szCs w:val="24"/>
          <w:lang w:eastAsia="es-AR"/>
        </w:rPr>
        <w:t>extinguirse</w:t>
      </w:r>
      <w:proofErr w:type="gramEnd"/>
      <w:r w:rsidRPr="00E45627">
        <w:rPr>
          <w:rFonts w:ascii="Times New Roman" w:eastAsia="Times New Roman" w:hAnsi="Times New Roman" w:cs="Times New Roman"/>
          <w:sz w:val="24"/>
          <w:szCs w:val="24"/>
          <w:lang w:eastAsia="es-AR"/>
        </w:rPr>
        <w:t xml:space="preserve"> aunque esos conceptos no estén regularizados. </w:t>
      </w:r>
    </w:p>
    <w:p w14:paraId="315D1D26"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proofErr w:type="spellStart"/>
      <w:r w:rsidRPr="00E45627">
        <w:rPr>
          <w:rFonts w:ascii="Times New Roman" w:eastAsia="Times New Roman" w:hAnsi="Times New Roman" w:cs="Times New Roman"/>
          <w:b/>
          <w:bCs/>
          <w:sz w:val="27"/>
          <w:szCs w:val="27"/>
          <w:lang w:eastAsia="es-AR"/>
        </w:rPr>
        <w:t>ii</w:t>
      </w:r>
      <w:proofErr w:type="spellEnd"/>
      <w:r w:rsidRPr="00E45627">
        <w:rPr>
          <w:rFonts w:ascii="Times New Roman" w:eastAsia="Times New Roman" w:hAnsi="Times New Roman" w:cs="Times New Roman"/>
          <w:b/>
          <w:bCs/>
          <w:sz w:val="27"/>
          <w:szCs w:val="27"/>
          <w:lang w:eastAsia="es-AR"/>
        </w:rPr>
        <w:t>. Unidad del hecho penal previsional</w:t>
      </w:r>
    </w:p>
    <w:p w14:paraId="5C340535"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El tribunal recordó su jurisprudencia consolidada según la cual:</w:t>
      </w:r>
    </w:p>
    <w:p w14:paraId="52B8AA41" w14:textId="77777777" w:rsidR="00E45627" w:rsidRPr="00E45627" w:rsidRDefault="00E45627" w:rsidP="00E45627">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omisión de ingreso de aportes correspondientes a distintos subsistemas configura un hecho único por cada período mensual; </w:t>
      </w:r>
    </w:p>
    <w:p w14:paraId="11685DF3" w14:textId="77777777" w:rsidR="00E45627" w:rsidRPr="00E45627" w:rsidRDefault="00E45627" w:rsidP="00E45627">
      <w:pPr>
        <w:numPr>
          <w:ilvl w:val="0"/>
          <w:numId w:val="69"/>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no corresponde escindir el hecho penal según el destino de cada aporte. </w:t>
      </w:r>
    </w:p>
    <w:p w14:paraId="6BE9010D"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No obstante, sostuvo que la Ley 27.743 introdujo una solución normativa específica que permite extinguir la acción penal aun subsistiendo deuda de obras sociales, siempre que:</w:t>
      </w:r>
    </w:p>
    <w:p w14:paraId="64DA3E64" w14:textId="77777777" w:rsidR="00E45627" w:rsidRPr="00E45627" w:rsidRDefault="00E45627" w:rsidP="00E45627">
      <w:pPr>
        <w:numPr>
          <w:ilvl w:val="0"/>
          <w:numId w:val="70"/>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los montos remanentes no superen la condición objetiva de punibilidad. </w:t>
      </w:r>
    </w:p>
    <w:p w14:paraId="2398671C"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proofErr w:type="spellStart"/>
      <w:r w:rsidRPr="00E45627">
        <w:rPr>
          <w:rFonts w:ascii="Times New Roman" w:eastAsia="Times New Roman" w:hAnsi="Times New Roman" w:cs="Times New Roman"/>
          <w:b/>
          <w:bCs/>
          <w:sz w:val="27"/>
          <w:szCs w:val="27"/>
          <w:lang w:eastAsia="es-AR"/>
        </w:rPr>
        <w:t>iii</w:t>
      </w:r>
      <w:proofErr w:type="spellEnd"/>
      <w:r w:rsidRPr="00E45627">
        <w:rPr>
          <w:rFonts w:ascii="Times New Roman" w:eastAsia="Times New Roman" w:hAnsi="Times New Roman" w:cs="Times New Roman"/>
          <w:b/>
          <w:bCs/>
          <w:sz w:val="27"/>
          <w:szCs w:val="27"/>
          <w:lang w:eastAsia="es-AR"/>
        </w:rPr>
        <w:t>. Análisis de la causal de exclusión del art. 4 inc. m)</w:t>
      </w:r>
    </w:p>
    <w:p w14:paraId="28B85C6A"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El tribunal reconoció inicialmente que las causales de exclusión del art. 4 deben ser verificadas incluso cuando la cancelación hubiera ocurrido antes de la vigencia de la ley. </w:t>
      </w:r>
    </w:p>
    <w:p w14:paraId="43BE0DAC"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Sin embargo, entendió que la causal invocada por ARCA había perdido sustento porque:</w:t>
      </w:r>
    </w:p>
    <w:p w14:paraId="6D1F5E0B" w14:textId="77777777" w:rsidR="00E45627" w:rsidRPr="00E45627" w:rsidRDefault="00E45627" w:rsidP="00E45627">
      <w:pPr>
        <w:numPr>
          <w:ilvl w:val="0"/>
          <w:numId w:val="71"/>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el Tribunal Oral en lo Penal Económico N.º 3 había declarado extinguida la acción penal en la causa previa; </w:t>
      </w:r>
    </w:p>
    <w:p w14:paraId="6767AEAD" w14:textId="77777777" w:rsidR="00E45627" w:rsidRPr="00E45627" w:rsidRDefault="00E45627" w:rsidP="00E45627">
      <w:pPr>
        <w:numPr>
          <w:ilvl w:val="0"/>
          <w:numId w:val="71"/>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el sobreseimiento se encontraba actualmente ejecutable; </w:t>
      </w:r>
    </w:p>
    <w:p w14:paraId="0FA5053B" w14:textId="77777777" w:rsidR="00E45627" w:rsidRPr="00E45627" w:rsidRDefault="00E45627" w:rsidP="00E45627">
      <w:pPr>
        <w:numPr>
          <w:ilvl w:val="0"/>
          <w:numId w:val="71"/>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la queja ante la Corte Suprema no suspendía sus efectos. </w:t>
      </w:r>
    </w:p>
    <w:p w14:paraId="48C66EDE"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C) Fundamentos doctrinales y jurisprudenciales</w:t>
      </w:r>
    </w:p>
    <w:p w14:paraId="7F980A98"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El tribunal desarrolló extensa doctrina y jurisprudencia sobre:</w:t>
      </w:r>
    </w:p>
    <w:p w14:paraId="06DB6228"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E45627">
        <w:rPr>
          <w:rFonts w:ascii="Times New Roman" w:eastAsia="Times New Roman" w:hAnsi="Times New Roman" w:cs="Times New Roman"/>
          <w:b/>
          <w:bCs/>
          <w:sz w:val="27"/>
          <w:szCs w:val="27"/>
          <w:lang w:eastAsia="es-AR"/>
        </w:rPr>
        <w:t>i. Hermenéutica legal</w:t>
      </w:r>
    </w:p>
    <w:p w14:paraId="2951529A"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Invocó la regla interpretativa según la cual:</w:t>
      </w:r>
    </w:p>
    <w:p w14:paraId="2FDAAF05" w14:textId="77777777" w:rsidR="00E45627" w:rsidRPr="00E45627" w:rsidRDefault="00E45627" w:rsidP="00E45627">
      <w:pPr>
        <w:numPr>
          <w:ilvl w:val="0"/>
          <w:numId w:val="72"/>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no deben presumirse incongruencias ni omisiones en el legislador. </w:t>
      </w:r>
    </w:p>
    <w:p w14:paraId="2B15EB91"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proofErr w:type="spellStart"/>
      <w:r w:rsidRPr="00E45627">
        <w:rPr>
          <w:rFonts w:ascii="Times New Roman" w:eastAsia="Times New Roman" w:hAnsi="Times New Roman" w:cs="Times New Roman"/>
          <w:b/>
          <w:bCs/>
          <w:sz w:val="27"/>
          <w:szCs w:val="27"/>
          <w:lang w:eastAsia="es-AR"/>
        </w:rPr>
        <w:t>ii</w:t>
      </w:r>
      <w:proofErr w:type="spellEnd"/>
      <w:r w:rsidRPr="00E45627">
        <w:rPr>
          <w:rFonts w:ascii="Times New Roman" w:eastAsia="Times New Roman" w:hAnsi="Times New Roman" w:cs="Times New Roman"/>
          <w:b/>
          <w:bCs/>
          <w:sz w:val="27"/>
          <w:szCs w:val="27"/>
          <w:lang w:eastAsia="es-AR"/>
        </w:rPr>
        <w:t xml:space="preserve">. </w:t>
      </w:r>
      <w:proofErr w:type="spellStart"/>
      <w:r w:rsidRPr="00E45627">
        <w:rPr>
          <w:rFonts w:ascii="Times New Roman" w:eastAsia="Times New Roman" w:hAnsi="Times New Roman" w:cs="Times New Roman"/>
          <w:b/>
          <w:bCs/>
          <w:sz w:val="27"/>
          <w:szCs w:val="27"/>
          <w:lang w:eastAsia="es-AR"/>
        </w:rPr>
        <w:t>Ejecutabilidad</w:t>
      </w:r>
      <w:proofErr w:type="spellEnd"/>
      <w:r w:rsidRPr="00E45627">
        <w:rPr>
          <w:rFonts w:ascii="Times New Roman" w:eastAsia="Times New Roman" w:hAnsi="Times New Roman" w:cs="Times New Roman"/>
          <w:b/>
          <w:bCs/>
          <w:sz w:val="27"/>
          <w:szCs w:val="27"/>
          <w:lang w:eastAsia="es-AR"/>
        </w:rPr>
        <w:t xml:space="preserve"> y firmeza</w:t>
      </w:r>
    </w:p>
    <w:p w14:paraId="02FAD612"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El tribunal desarrolló ampliamente la doctrina de la Corte Suprema sobre:</w:t>
      </w:r>
    </w:p>
    <w:p w14:paraId="6BF33373" w14:textId="77777777" w:rsidR="00E45627" w:rsidRPr="00E45627" w:rsidRDefault="00E45627" w:rsidP="00B049DF">
      <w:pPr>
        <w:numPr>
          <w:ilvl w:val="0"/>
          <w:numId w:val="73"/>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firmeza; </w:t>
      </w:r>
    </w:p>
    <w:p w14:paraId="6C09A47C" w14:textId="77777777" w:rsidR="00E45627" w:rsidRPr="00E45627" w:rsidRDefault="00E45627" w:rsidP="00B049DF">
      <w:pPr>
        <w:numPr>
          <w:ilvl w:val="0"/>
          <w:numId w:val="73"/>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E45627">
        <w:rPr>
          <w:rFonts w:ascii="Times New Roman" w:eastAsia="Times New Roman" w:hAnsi="Times New Roman" w:cs="Times New Roman"/>
          <w:sz w:val="24"/>
          <w:szCs w:val="24"/>
          <w:lang w:eastAsia="es-AR"/>
        </w:rPr>
        <w:t>ejecutabilidad</w:t>
      </w:r>
      <w:proofErr w:type="spellEnd"/>
      <w:r w:rsidRPr="00E45627">
        <w:rPr>
          <w:rFonts w:ascii="Times New Roman" w:eastAsia="Times New Roman" w:hAnsi="Times New Roman" w:cs="Times New Roman"/>
          <w:sz w:val="24"/>
          <w:szCs w:val="24"/>
          <w:lang w:eastAsia="es-AR"/>
        </w:rPr>
        <w:t xml:space="preserve">; </w:t>
      </w:r>
    </w:p>
    <w:p w14:paraId="48F81492" w14:textId="77777777" w:rsidR="00E45627" w:rsidRPr="00E45627" w:rsidRDefault="00E45627" w:rsidP="00B049DF">
      <w:pPr>
        <w:numPr>
          <w:ilvl w:val="0"/>
          <w:numId w:val="73"/>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efectos no suspensivos de la queja por recurso extraordinario denegado. </w:t>
      </w:r>
    </w:p>
    <w:p w14:paraId="7C2FECE3"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lastRenderedPageBreak/>
        <w:t xml:space="preserve">También desarrolló doctrina de Pablo Zalazar sobre </w:t>
      </w:r>
      <w:proofErr w:type="spellStart"/>
      <w:r w:rsidRPr="00E45627">
        <w:rPr>
          <w:rFonts w:ascii="Times New Roman" w:eastAsia="Times New Roman" w:hAnsi="Times New Roman" w:cs="Times New Roman"/>
          <w:sz w:val="24"/>
          <w:szCs w:val="24"/>
          <w:lang w:eastAsia="es-AR"/>
        </w:rPr>
        <w:t>ejecutabilidad</w:t>
      </w:r>
      <w:proofErr w:type="spellEnd"/>
      <w:r w:rsidRPr="00E45627">
        <w:rPr>
          <w:rFonts w:ascii="Times New Roman" w:eastAsia="Times New Roman" w:hAnsi="Times New Roman" w:cs="Times New Roman"/>
          <w:sz w:val="24"/>
          <w:szCs w:val="24"/>
          <w:lang w:eastAsia="es-AR"/>
        </w:rPr>
        <w:t xml:space="preserve"> de sentencias no firmes. </w:t>
      </w:r>
    </w:p>
    <w:p w14:paraId="559FBF9E" w14:textId="77777777" w:rsidR="00E45627" w:rsidRPr="00E45627" w:rsidRDefault="00E45627" w:rsidP="00E45627">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proofErr w:type="spellStart"/>
      <w:r w:rsidRPr="00E45627">
        <w:rPr>
          <w:rFonts w:ascii="Times New Roman" w:eastAsia="Times New Roman" w:hAnsi="Times New Roman" w:cs="Times New Roman"/>
          <w:b/>
          <w:bCs/>
          <w:sz w:val="27"/>
          <w:szCs w:val="27"/>
          <w:lang w:eastAsia="es-AR"/>
        </w:rPr>
        <w:t>iii</w:t>
      </w:r>
      <w:proofErr w:type="spellEnd"/>
      <w:r w:rsidRPr="00E45627">
        <w:rPr>
          <w:rFonts w:ascii="Times New Roman" w:eastAsia="Times New Roman" w:hAnsi="Times New Roman" w:cs="Times New Roman"/>
          <w:b/>
          <w:bCs/>
          <w:sz w:val="27"/>
          <w:szCs w:val="27"/>
          <w:lang w:eastAsia="es-AR"/>
        </w:rPr>
        <w:t>. Jurisprudencia propia</w:t>
      </w:r>
    </w:p>
    <w:p w14:paraId="6C86F3AD"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Sala citó numerosos precedentes de las Salas “A” y “B” de la Cámara Penal Económico sobre:</w:t>
      </w:r>
    </w:p>
    <w:p w14:paraId="103F278A" w14:textId="77777777" w:rsidR="00E45627" w:rsidRPr="00E45627" w:rsidRDefault="00E45627" w:rsidP="00B049DF">
      <w:pPr>
        <w:numPr>
          <w:ilvl w:val="0"/>
          <w:numId w:val="7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unidad del hecho previsional; </w:t>
      </w:r>
    </w:p>
    <w:p w14:paraId="61DC9DFD" w14:textId="77777777" w:rsidR="00E45627" w:rsidRPr="00E45627" w:rsidRDefault="00E45627" w:rsidP="00B049DF">
      <w:pPr>
        <w:numPr>
          <w:ilvl w:val="0"/>
          <w:numId w:val="7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tratamiento de aportes de obras sociales; </w:t>
      </w:r>
    </w:p>
    <w:p w14:paraId="67A5F057" w14:textId="77777777" w:rsidR="00E45627" w:rsidRPr="00E45627" w:rsidRDefault="00E45627" w:rsidP="00B049DF">
      <w:pPr>
        <w:numPr>
          <w:ilvl w:val="0"/>
          <w:numId w:val="74"/>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regímenes de regularización de las leyes 27.541, 27.562, 27.653 y 27.743. </w:t>
      </w:r>
    </w:p>
    <w:p w14:paraId="640215FD" w14:textId="77777777" w:rsidR="00E45627" w:rsidRPr="00E45627" w:rsidRDefault="00E45627" w:rsidP="00E45627">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E45627">
        <w:rPr>
          <w:rFonts w:ascii="Times New Roman" w:eastAsia="Times New Roman" w:hAnsi="Times New Roman" w:cs="Times New Roman"/>
          <w:b/>
          <w:bCs/>
          <w:sz w:val="36"/>
          <w:szCs w:val="36"/>
          <w:lang w:eastAsia="es-AR"/>
        </w:rPr>
        <w:t>4. Resolución de la causa</w:t>
      </w:r>
    </w:p>
    <w:p w14:paraId="3F1289B0" w14:textId="77777777" w:rsidR="00E45627" w:rsidRPr="00E45627" w:rsidRDefault="00E45627" w:rsidP="00E45627">
      <w:p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La Sala “A” resolvió:</w:t>
      </w:r>
    </w:p>
    <w:p w14:paraId="45390BAA" w14:textId="77777777" w:rsidR="00E45627" w:rsidRPr="00E45627" w:rsidRDefault="00E45627" w:rsidP="00B049DF">
      <w:pPr>
        <w:numPr>
          <w:ilvl w:val="0"/>
          <w:numId w:val="7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 xml:space="preserve">confirmar el sobreseimiento dictado respecto de J.M.R.S.; </w:t>
      </w:r>
    </w:p>
    <w:p w14:paraId="388153B9" w14:textId="77777777" w:rsidR="00E45627" w:rsidRPr="00E45627" w:rsidRDefault="00E45627" w:rsidP="00B049DF">
      <w:pPr>
        <w:numPr>
          <w:ilvl w:val="0"/>
          <w:numId w:val="75"/>
        </w:numPr>
        <w:spacing w:before="100" w:beforeAutospacing="1" w:after="100" w:afterAutospacing="1" w:line="240" w:lineRule="auto"/>
        <w:rPr>
          <w:rFonts w:ascii="Times New Roman" w:eastAsia="Times New Roman" w:hAnsi="Times New Roman" w:cs="Times New Roman"/>
          <w:sz w:val="24"/>
          <w:szCs w:val="24"/>
          <w:lang w:eastAsia="es-AR"/>
        </w:rPr>
      </w:pPr>
      <w:r w:rsidRPr="00E45627">
        <w:rPr>
          <w:rFonts w:ascii="Times New Roman" w:eastAsia="Times New Roman" w:hAnsi="Times New Roman" w:cs="Times New Roman"/>
          <w:sz w:val="24"/>
          <w:szCs w:val="24"/>
          <w:lang w:eastAsia="es-AR"/>
        </w:rPr>
        <w:t>confirmar la extinción de la acción penal por aplicación del art. 5 de la Ley 27.743</w:t>
      </w:r>
    </w:p>
    <w:p w14:paraId="23B69BDE" w14:textId="6F3D3139" w:rsidR="00BE3C00" w:rsidRDefault="00BE3C00" w:rsidP="00A245F2"/>
    <w:p w14:paraId="24B3816B" w14:textId="77777777" w:rsidR="006B30F8" w:rsidRPr="006B30F8" w:rsidRDefault="006B30F8" w:rsidP="006B30F8">
      <w:pPr>
        <w:spacing w:before="100" w:beforeAutospacing="1" w:after="100" w:afterAutospacing="1" w:line="240" w:lineRule="auto"/>
        <w:jc w:val="both"/>
        <w:rPr>
          <w:rFonts w:ascii="Times New Roman" w:eastAsia="Times New Roman" w:hAnsi="Times New Roman" w:cs="Times New Roman"/>
          <w:b/>
          <w:bCs/>
          <w:sz w:val="24"/>
          <w:szCs w:val="24"/>
          <w:u w:val="single"/>
          <w:lang w:eastAsia="es-AR"/>
        </w:rPr>
      </w:pPr>
      <w:r w:rsidRPr="006B30F8">
        <w:rPr>
          <w:rFonts w:ascii="Times New Roman" w:eastAsia="Times New Roman" w:hAnsi="Times New Roman" w:cs="Times New Roman"/>
          <w:b/>
          <w:bCs/>
          <w:sz w:val="24"/>
          <w:szCs w:val="24"/>
          <w:u w:val="single"/>
          <w:lang w:eastAsia="es-AR"/>
        </w:rPr>
        <w:t xml:space="preserve">FALLO V.  “HWANG, Sung </w:t>
      </w:r>
      <w:proofErr w:type="spellStart"/>
      <w:r w:rsidRPr="006B30F8">
        <w:rPr>
          <w:rFonts w:ascii="Times New Roman" w:eastAsia="Times New Roman" w:hAnsi="Times New Roman" w:cs="Times New Roman"/>
          <w:b/>
          <w:bCs/>
          <w:sz w:val="24"/>
          <w:szCs w:val="24"/>
          <w:u w:val="single"/>
          <w:lang w:eastAsia="es-AR"/>
        </w:rPr>
        <w:t>Ku</w:t>
      </w:r>
      <w:proofErr w:type="spellEnd"/>
      <w:r w:rsidRPr="006B30F8">
        <w:rPr>
          <w:rFonts w:ascii="Times New Roman" w:eastAsia="Times New Roman" w:hAnsi="Times New Roman" w:cs="Times New Roman"/>
          <w:b/>
          <w:bCs/>
          <w:sz w:val="24"/>
          <w:szCs w:val="24"/>
          <w:u w:val="single"/>
          <w:lang w:eastAsia="es-AR"/>
        </w:rPr>
        <w:t xml:space="preserve"> y otros s/ </w:t>
      </w:r>
      <w:proofErr w:type="spellStart"/>
      <w:r w:rsidRPr="006B30F8">
        <w:rPr>
          <w:rFonts w:ascii="Times New Roman" w:eastAsia="Times New Roman" w:hAnsi="Times New Roman" w:cs="Times New Roman"/>
          <w:b/>
          <w:bCs/>
          <w:sz w:val="24"/>
          <w:szCs w:val="24"/>
          <w:u w:val="single"/>
          <w:lang w:eastAsia="es-AR"/>
        </w:rPr>
        <w:t>inf</w:t>
      </w:r>
      <w:proofErr w:type="spellEnd"/>
      <w:r w:rsidRPr="006B30F8">
        <w:rPr>
          <w:rFonts w:ascii="Times New Roman" w:eastAsia="Times New Roman" w:hAnsi="Times New Roman" w:cs="Times New Roman"/>
          <w:b/>
          <w:bCs/>
          <w:sz w:val="24"/>
          <w:szCs w:val="24"/>
          <w:u w:val="single"/>
          <w:lang w:eastAsia="es-AR"/>
        </w:rPr>
        <w:t xml:space="preserve">. ley 22.415 y arts. 210 y 303 del CP”. </w:t>
      </w:r>
      <w:r w:rsidR="00AB3EE5" w:rsidRPr="006B30F8">
        <w:rPr>
          <w:rFonts w:ascii="Times New Roman" w:eastAsia="Times New Roman" w:hAnsi="Times New Roman" w:cs="Times New Roman"/>
          <w:b/>
          <w:bCs/>
          <w:sz w:val="24"/>
          <w:szCs w:val="24"/>
          <w:u w:val="single"/>
          <w:lang w:eastAsia="es-AR"/>
        </w:rPr>
        <w:t>TOPE 2</w:t>
      </w:r>
      <w:r w:rsidRPr="006B30F8">
        <w:rPr>
          <w:rFonts w:ascii="Times New Roman" w:eastAsia="Times New Roman" w:hAnsi="Times New Roman" w:cs="Times New Roman"/>
          <w:b/>
          <w:bCs/>
          <w:sz w:val="24"/>
          <w:szCs w:val="24"/>
          <w:u w:val="single"/>
          <w:lang w:eastAsia="es-AR"/>
        </w:rPr>
        <w:t>. 13/05/2026</w:t>
      </w:r>
    </w:p>
    <w:p w14:paraId="348CD805" w14:textId="506028D4" w:rsidR="00AB3EE5" w:rsidRPr="00AB3EE5" w:rsidRDefault="006B30F8" w:rsidP="00AB3EE5">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S</w:t>
      </w:r>
      <w:r w:rsidR="00AB3EE5" w:rsidRPr="00AB3EE5">
        <w:rPr>
          <w:rFonts w:ascii="Times New Roman" w:eastAsia="Times New Roman" w:hAnsi="Times New Roman" w:cs="Times New Roman"/>
          <w:sz w:val="24"/>
          <w:szCs w:val="24"/>
          <w:lang w:eastAsia="es-AR"/>
        </w:rPr>
        <w:t xml:space="preserve">e resolvió el planteo de nulidad promovido por el imputado Lázaro Elías Maximiliano Dayán Barnatán respecto de la decisión previa que había rechazado la aplicación de los beneficios de la ley 27.743. </w:t>
      </w:r>
    </w:p>
    <w:p w14:paraId="1A47FABB"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I. Antecedentes fácticos y jurídicos de la causa</w:t>
      </w:r>
    </w:p>
    <w:p w14:paraId="566A9347"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1. Contexto procesal previo</w:t>
      </w:r>
    </w:p>
    <w:p w14:paraId="51A0DF3D"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La causa principal (“</w:t>
      </w:r>
      <w:proofErr w:type="spellStart"/>
      <w:r w:rsidRPr="00AB3EE5">
        <w:rPr>
          <w:rFonts w:ascii="Times New Roman" w:eastAsia="Times New Roman" w:hAnsi="Times New Roman" w:cs="Times New Roman"/>
          <w:sz w:val="24"/>
          <w:szCs w:val="24"/>
          <w:lang w:eastAsia="es-AR"/>
        </w:rPr>
        <w:t>Terrasur</w:t>
      </w:r>
      <w:proofErr w:type="spellEnd"/>
      <w:r w:rsidRPr="00AB3EE5">
        <w:rPr>
          <w:rFonts w:ascii="Times New Roman" w:eastAsia="Times New Roman" w:hAnsi="Times New Roman" w:cs="Times New Roman"/>
          <w:sz w:val="24"/>
          <w:szCs w:val="24"/>
          <w:lang w:eastAsia="es-AR"/>
        </w:rPr>
        <w:t xml:space="preserve"> Inversiones S.A.”) tramita ante el Tribunal Oral Penal Económico </w:t>
      </w:r>
      <w:proofErr w:type="spellStart"/>
      <w:r w:rsidRPr="00AB3EE5">
        <w:rPr>
          <w:rFonts w:ascii="Times New Roman" w:eastAsia="Times New Roman" w:hAnsi="Times New Roman" w:cs="Times New Roman"/>
          <w:sz w:val="24"/>
          <w:szCs w:val="24"/>
          <w:lang w:eastAsia="es-AR"/>
        </w:rPr>
        <w:t>N°</w:t>
      </w:r>
      <w:proofErr w:type="spellEnd"/>
      <w:r w:rsidRPr="00AB3EE5">
        <w:rPr>
          <w:rFonts w:ascii="Times New Roman" w:eastAsia="Times New Roman" w:hAnsi="Times New Roman" w:cs="Times New Roman"/>
          <w:sz w:val="24"/>
          <w:szCs w:val="24"/>
          <w:lang w:eastAsia="es-AR"/>
        </w:rPr>
        <w:t xml:space="preserve"> 2 y versa sobre hechos vinculados con:</w:t>
      </w:r>
    </w:p>
    <w:p w14:paraId="23A0F5D6" w14:textId="77777777" w:rsidR="00AB3EE5" w:rsidRPr="00AB3EE5" w:rsidRDefault="00AB3EE5" w:rsidP="00AB3EE5">
      <w:pPr>
        <w:numPr>
          <w:ilvl w:val="0"/>
          <w:numId w:val="7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infracción a la ley 22.415 (Código Aduanero), </w:t>
      </w:r>
    </w:p>
    <w:p w14:paraId="7103E1F0" w14:textId="77777777" w:rsidR="00AB3EE5" w:rsidRPr="00AB3EE5" w:rsidRDefault="00AB3EE5" w:rsidP="00AB3EE5">
      <w:pPr>
        <w:numPr>
          <w:ilvl w:val="0"/>
          <w:numId w:val="7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asociación ilícita (art. 210 CP), </w:t>
      </w:r>
    </w:p>
    <w:p w14:paraId="3CFFB42A" w14:textId="77777777" w:rsidR="00AB3EE5" w:rsidRPr="00AB3EE5" w:rsidRDefault="00AB3EE5" w:rsidP="00AB3EE5">
      <w:pPr>
        <w:numPr>
          <w:ilvl w:val="0"/>
          <w:numId w:val="7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lavado de activos (art. 303 CP). </w:t>
      </w:r>
    </w:p>
    <w:p w14:paraId="38AF9264"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En el marco de ese proceso:</w:t>
      </w:r>
    </w:p>
    <w:p w14:paraId="428FC5B8" w14:textId="77777777" w:rsidR="00AB3EE5" w:rsidRPr="00AB3EE5" w:rsidRDefault="00AB3EE5" w:rsidP="00AB3EE5">
      <w:pPr>
        <w:numPr>
          <w:ilvl w:val="0"/>
          <w:numId w:val="7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defensa de Dayán Barnatán promovió un incidente de extinción de la acción penal mediante acogimiento al régimen de regularización excepcional de la ley 27.743; </w:t>
      </w:r>
    </w:p>
    <w:p w14:paraId="20A0F0F2" w14:textId="77777777" w:rsidR="00AB3EE5" w:rsidRPr="00AB3EE5" w:rsidRDefault="00AB3EE5" w:rsidP="00AB3EE5">
      <w:pPr>
        <w:numPr>
          <w:ilvl w:val="0"/>
          <w:numId w:val="7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paralelamente inició una acción declarativa de certeza constitucional en el fuero contencioso administrativo federal (CAF 1478/2025). </w:t>
      </w:r>
    </w:p>
    <w:p w14:paraId="59484A3B"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2. Acción declarativa de certeza constitucional</w:t>
      </w:r>
    </w:p>
    <w:p w14:paraId="45549CDD"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lastRenderedPageBreak/>
        <w:t>La acción promovida por Dayán Barnatán tenía por objeto determinar:</w:t>
      </w:r>
    </w:p>
    <w:p w14:paraId="5A12A58C" w14:textId="77777777" w:rsidR="00AB3EE5" w:rsidRPr="00AB3EE5" w:rsidRDefault="00AB3EE5" w:rsidP="00AB3EE5">
      <w:pPr>
        <w:numPr>
          <w:ilvl w:val="0"/>
          <w:numId w:val="78"/>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AB3EE5">
        <w:rPr>
          <w:rFonts w:ascii="Times New Roman" w:eastAsia="Times New Roman" w:hAnsi="Times New Roman" w:cs="Times New Roman"/>
          <w:sz w:val="24"/>
          <w:szCs w:val="24"/>
          <w:lang w:eastAsia="es-AR"/>
        </w:rPr>
        <w:t>si</w:t>
      </w:r>
      <w:proofErr w:type="spellEnd"/>
      <w:r w:rsidRPr="00AB3EE5">
        <w:rPr>
          <w:rFonts w:ascii="Times New Roman" w:eastAsia="Times New Roman" w:hAnsi="Times New Roman" w:cs="Times New Roman"/>
          <w:sz w:val="24"/>
          <w:szCs w:val="24"/>
          <w:lang w:eastAsia="es-AR"/>
        </w:rPr>
        <w:t xml:space="preserve"> cumplía con los requisitos del art. 5 de la ley 27.743, </w:t>
      </w:r>
    </w:p>
    <w:p w14:paraId="1865CED8" w14:textId="77777777" w:rsidR="00AB3EE5" w:rsidRPr="00AB3EE5" w:rsidRDefault="00AB3EE5" w:rsidP="00AB3EE5">
      <w:pPr>
        <w:numPr>
          <w:ilvl w:val="0"/>
          <w:numId w:val="78"/>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para acceder a los beneficios del “Régimen de Regularización Excepcional de Obligaciones Tributarias, Aduaneras y de Seguridad Social”. </w:t>
      </w:r>
    </w:p>
    <w:p w14:paraId="14BCE5ED"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La justicia contencioso administrativa federal:</w:t>
      </w:r>
    </w:p>
    <w:p w14:paraId="2DCD6414" w14:textId="77777777" w:rsidR="00AB3EE5" w:rsidRPr="00AB3EE5" w:rsidRDefault="00AB3EE5" w:rsidP="00AB3EE5">
      <w:pPr>
        <w:numPr>
          <w:ilvl w:val="0"/>
          <w:numId w:val="7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se declaró incompetente, </w:t>
      </w:r>
    </w:p>
    <w:p w14:paraId="3B8528D6" w14:textId="77777777" w:rsidR="00AB3EE5" w:rsidRPr="00AB3EE5" w:rsidRDefault="00AB3EE5" w:rsidP="00AB3EE5">
      <w:pPr>
        <w:numPr>
          <w:ilvl w:val="0"/>
          <w:numId w:val="7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entendiendo que la cuestión debía resolverse por el tribunal penal económico donde tramitaba la causa principal. </w:t>
      </w:r>
    </w:p>
    <w:p w14:paraId="7E7C5DD9"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Esa decisión:</w:t>
      </w:r>
    </w:p>
    <w:p w14:paraId="0429524F" w14:textId="77777777" w:rsidR="00AB3EE5" w:rsidRPr="00AB3EE5" w:rsidRDefault="00AB3EE5" w:rsidP="00AB3EE5">
      <w:pPr>
        <w:numPr>
          <w:ilvl w:val="0"/>
          <w:numId w:val="8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fue consentida expresamente por el propio Dayán Barnatán. </w:t>
      </w:r>
    </w:p>
    <w:p w14:paraId="40475992"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Posteriormente:</w:t>
      </w:r>
    </w:p>
    <w:p w14:paraId="0C440AB6" w14:textId="77777777" w:rsidR="00AB3EE5" w:rsidRPr="00AB3EE5" w:rsidRDefault="00AB3EE5" w:rsidP="00AB3EE5">
      <w:pPr>
        <w:numPr>
          <w:ilvl w:val="0"/>
          <w:numId w:val="81"/>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expediente CAF 1478/2025 fue remitido al TOPE 2, </w:t>
      </w:r>
    </w:p>
    <w:p w14:paraId="295BA556" w14:textId="77777777" w:rsidR="00AB3EE5" w:rsidRPr="00AB3EE5" w:rsidRDefault="00AB3EE5" w:rsidP="00AB3EE5">
      <w:pPr>
        <w:numPr>
          <w:ilvl w:val="0"/>
          <w:numId w:val="81"/>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AB3EE5">
        <w:rPr>
          <w:rFonts w:ascii="Times New Roman" w:eastAsia="Times New Roman" w:hAnsi="Times New Roman" w:cs="Times New Roman"/>
          <w:sz w:val="24"/>
          <w:szCs w:val="24"/>
          <w:lang w:eastAsia="es-AR"/>
        </w:rPr>
        <w:t>e</w:t>
      </w:r>
      <w:proofErr w:type="spellEnd"/>
      <w:r w:rsidRPr="00AB3EE5">
        <w:rPr>
          <w:rFonts w:ascii="Times New Roman" w:eastAsia="Times New Roman" w:hAnsi="Times New Roman" w:cs="Times New Roman"/>
          <w:sz w:val="24"/>
          <w:szCs w:val="24"/>
          <w:lang w:eastAsia="es-AR"/>
        </w:rPr>
        <w:t xml:space="preserve"> incorporado al incidente de extinción de la acción penal ya existente. </w:t>
      </w:r>
    </w:p>
    <w:p w14:paraId="3BE29714"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3. Resolución previa del 20/11/2025</w:t>
      </w:r>
    </w:p>
    <w:p w14:paraId="7ECAB500"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Con fecha 20 de noviembre de 2025:</w:t>
      </w:r>
    </w:p>
    <w:p w14:paraId="418EBFEE" w14:textId="77777777" w:rsidR="00AB3EE5" w:rsidRPr="00AB3EE5" w:rsidRDefault="00AB3EE5" w:rsidP="00AB3EE5">
      <w:pPr>
        <w:numPr>
          <w:ilvl w:val="0"/>
          <w:numId w:val="8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Tribunal Oral rechazó la aplicación de los beneficios de la ley 27.743 solicitados por la defensa. </w:t>
      </w:r>
    </w:p>
    <w:p w14:paraId="1C65DBEA"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Esa resolución:</w:t>
      </w:r>
    </w:p>
    <w:p w14:paraId="0AB25A4E" w14:textId="77777777" w:rsidR="00AB3EE5" w:rsidRPr="00AB3EE5" w:rsidRDefault="00AB3EE5" w:rsidP="00AB3EE5">
      <w:pPr>
        <w:numPr>
          <w:ilvl w:val="0"/>
          <w:numId w:val="8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fue debidamente notificada, </w:t>
      </w:r>
    </w:p>
    <w:p w14:paraId="773F21F2" w14:textId="77777777" w:rsidR="00AB3EE5" w:rsidRPr="00AB3EE5" w:rsidRDefault="00AB3EE5" w:rsidP="00AB3EE5">
      <w:pPr>
        <w:numPr>
          <w:ilvl w:val="0"/>
          <w:numId w:val="8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no fue recurrida. </w:t>
      </w:r>
    </w:p>
    <w:p w14:paraId="4C064948"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Posteriormente:</w:t>
      </w:r>
    </w:p>
    <w:p w14:paraId="28363F7A" w14:textId="77777777" w:rsidR="00AB3EE5" w:rsidRPr="00AB3EE5" w:rsidRDefault="00AB3EE5" w:rsidP="00AB3EE5">
      <w:pPr>
        <w:numPr>
          <w:ilvl w:val="0"/>
          <w:numId w:val="8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Dayán Barnatán promovió un planteo de nulidad, </w:t>
      </w:r>
    </w:p>
    <w:p w14:paraId="442DE983" w14:textId="77777777" w:rsidR="00AB3EE5" w:rsidRPr="00AB3EE5" w:rsidRDefault="00AB3EE5" w:rsidP="00AB3EE5">
      <w:pPr>
        <w:numPr>
          <w:ilvl w:val="0"/>
          <w:numId w:val="8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alegando afectación a la tutela judicial efectiva, </w:t>
      </w:r>
    </w:p>
    <w:p w14:paraId="3064174A" w14:textId="77777777" w:rsidR="00AB3EE5" w:rsidRPr="00AB3EE5" w:rsidRDefault="00AB3EE5" w:rsidP="00AB3EE5">
      <w:pPr>
        <w:numPr>
          <w:ilvl w:val="0"/>
          <w:numId w:val="8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solicitando además que se tramitara formalmente la acción declarativa de certeza constitucional. </w:t>
      </w:r>
    </w:p>
    <w:p w14:paraId="0ADE3D6A" w14:textId="77777777" w:rsidR="00AB3EE5" w:rsidRPr="00AB3EE5" w:rsidRDefault="004008F7" w:rsidP="00AB3EE5">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572CA9E1">
          <v:rect id="_x0000_i1043" style="width:0;height:1.5pt" o:hralign="center" o:hrstd="t" o:hr="t" fillcolor="#a0a0a0" stroked="f"/>
        </w:pict>
      </w:r>
    </w:p>
    <w:p w14:paraId="0AE6C295"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 xml:space="preserve">II. </w:t>
      </w:r>
      <w:proofErr w:type="spellStart"/>
      <w:r w:rsidRPr="00AB3EE5">
        <w:rPr>
          <w:rFonts w:ascii="Times New Roman" w:eastAsia="Times New Roman" w:hAnsi="Times New Roman" w:cs="Times New Roman"/>
          <w:b/>
          <w:bCs/>
          <w:sz w:val="36"/>
          <w:szCs w:val="36"/>
          <w:lang w:eastAsia="es-AR"/>
        </w:rPr>
        <w:t>Merituación</w:t>
      </w:r>
      <w:proofErr w:type="spellEnd"/>
      <w:r w:rsidRPr="00AB3EE5">
        <w:rPr>
          <w:rFonts w:ascii="Times New Roman" w:eastAsia="Times New Roman" w:hAnsi="Times New Roman" w:cs="Times New Roman"/>
          <w:b/>
          <w:bCs/>
          <w:sz w:val="36"/>
          <w:szCs w:val="36"/>
          <w:lang w:eastAsia="es-AR"/>
        </w:rPr>
        <w:t xml:space="preserve"> de las posturas de las partes</w:t>
      </w:r>
    </w:p>
    <w:p w14:paraId="51C39503"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1. Postura de la defensa</w:t>
      </w:r>
    </w:p>
    <w:p w14:paraId="5738677C"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La defensa sostuvo principalmente que:</w:t>
      </w:r>
    </w:p>
    <w:p w14:paraId="29E6E042" w14:textId="77777777" w:rsidR="00AB3EE5" w:rsidRPr="00AB3EE5" w:rsidRDefault="00AB3EE5" w:rsidP="00AB3EE5">
      <w:pPr>
        <w:numPr>
          <w:ilvl w:val="0"/>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Tribunal había omitido brindar tutela judicial efectiva; </w:t>
      </w:r>
    </w:p>
    <w:p w14:paraId="19360026" w14:textId="77777777" w:rsidR="00AB3EE5" w:rsidRPr="00AB3EE5" w:rsidRDefault="00AB3EE5" w:rsidP="00AB3EE5">
      <w:pPr>
        <w:numPr>
          <w:ilvl w:val="0"/>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lastRenderedPageBreak/>
        <w:t xml:space="preserve">la acción declarativa de certeza constitucional conservaba naturaleza autónoma y no penal; </w:t>
      </w:r>
    </w:p>
    <w:p w14:paraId="47B05FCF" w14:textId="77777777" w:rsidR="00AB3EE5" w:rsidRPr="00AB3EE5" w:rsidRDefault="00AB3EE5" w:rsidP="00AB3EE5">
      <w:pPr>
        <w:numPr>
          <w:ilvl w:val="0"/>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TOPE 2 debía tramitarla específicamente bajo las reglas propias de ese proceso constitucional; </w:t>
      </w:r>
    </w:p>
    <w:p w14:paraId="54587645" w14:textId="77777777" w:rsidR="00AB3EE5" w:rsidRPr="00AB3EE5" w:rsidRDefault="00AB3EE5" w:rsidP="00AB3EE5">
      <w:pPr>
        <w:numPr>
          <w:ilvl w:val="0"/>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cuestión debía resolverse antes del juicio oral; </w:t>
      </w:r>
    </w:p>
    <w:p w14:paraId="60BE0863" w14:textId="77777777" w:rsidR="00AB3EE5" w:rsidRPr="00AB3EE5" w:rsidRDefault="00AB3EE5" w:rsidP="00AB3EE5">
      <w:pPr>
        <w:numPr>
          <w:ilvl w:val="0"/>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que continuar el proceso penal sin resolver previamente la cuestión constitucional afectaba: </w:t>
      </w:r>
    </w:p>
    <w:p w14:paraId="75549734" w14:textId="77777777" w:rsidR="00AB3EE5" w:rsidRPr="00AB3EE5" w:rsidRDefault="00AB3EE5" w:rsidP="00AB3EE5">
      <w:pPr>
        <w:numPr>
          <w:ilvl w:val="1"/>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debido proceso, </w:t>
      </w:r>
    </w:p>
    <w:p w14:paraId="49398C8B" w14:textId="77777777" w:rsidR="00AB3EE5" w:rsidRPr="00AB3EE5" w:rsidRDefault="00AB3EE5" w:rsidP="00AB3EE5">
      <w:pPr>
        <w:numPr>
          <w:ilvl w:val="1"/>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igualdad, </w:t>
      </w:r>
    </w:p>
    <w:p w14:paraId="3FD184A4" w14:textId="77777777" w:rsidR="00AB3EE5" w:rsidRPr="00AB3EE5" w:rsidRDefault="00AB3EE5" w:rsidP="00AB3EE5">
      <w:pPr>
        <w:numPr>
          <w:ilvl w:val="1"/>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razonabilidad, </w:t>
      </w:r>
    </w:p>
    <w:p w14:paraId="63DA60BE" w14:textId="77777777" w:rsidR="00AB3EE5" w:rsidRPr="00AB3EE5" w:rsidRDefault="00AB3EE5" w:rsidP="00AB3EE5">
      <w:pPr>
        <w:numPr>
          <w:ilvl w:val="1"/>
          <w:numId w:val="8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la legalidad. </w:t>
      </w:r>
    </w:p>
    <w:p w14:paraId="4BBE38B5"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También alegó:</w:t>
      </w:r>
    </w:p>
    <w:p w14:paraId="5B924FDE" w14:textId="77777777" w:rsidR="00AB3EE5" w:rsidRPr="00AB3EE5" w:rsidRDefault="00AB3EE5" w:rsidP="00AB3EE5">
      <w:pPr>
        <w:numPr>
          <w:ilvl w:val="0"/>
          <w:numId w:val="8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denegación de justicia, </w:t>
      </w:r>
    </w:p>
    <w:p w14:paraId="170EE8DE" w14:textId="77777777" w:rsidR="00AB3EE5" w:rsidRPr="00AB3EE5" w:rsidRDefault="00AB3EE5" w:rsidP="00AB3EE5">
      <w:pPr>
        <w:numPr>
          <w:ilvl w:val="0"/>
          <w:numId w:val="8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incertidumbre jurídica, </w:t>
      </w:r>
    </w:p>
    <w:p w14:paraId="320851BC" w14:textId="77777777" w:rsidR="00AB3EE5" w:rsidRPr="00AB3EE5" w:rsidRDefault="00AB3EE5" w:rsidP="00AB3EE5">
      <w:pPr>
        <w:numPr>
          <w:ilvl w:val="0"/>
          <w:numId w:val="8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afectación al derecho de defensa. </w:t>
      </w:r>
    </w:p>
    <w:p w14:paraId="04345EE9"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Dr. Luis Fernando Charro adhirió íntegramente a estos argumentos. </w:t>
      </w:r>
    </w:p>
    <w:p w14:paraId="6829BA4D"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2. Postura de la querella (DGA)</w:t>
      </w:r>
    </w:p>
    <w:p w14:paraId="23DD1BE1"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La querella aduanera sostuvo que:</w:t>
      </w:r>
    </w:p>
    <w:p w14:paraId="74833C89" w14:textId="77777777" w:rsidR="00AB3EE5" w:rsidRPr="00AB3EE5" w:rsidRDefault="00AB3EE5" w:rsidP="00AB3EE5">
      <w:pPr>
        <w:numPr>
          <w:ilvl w:val="0"/>
          <w:numId w:val="8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acción declarativa de certeza era procesalmente improcedente; </w:t>
      </w:r>
    </w:p>
    <w:p w14:paraId="69B63DA4" w14:textId="77777777" w:rsidR="00AB3EE5" w:rsidRPr="00AB3EE5" w:rsidRDefault="00AB3EE5" w:rsidP="00AB3EE5">
      <w:pPr>
        <w:numPr>
          <w:ilvl w:val="0"/>
          <w:numId w:val="8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planteo ya había sido resuelto en la sede correspondiente; </w:t>
      </w:r>
    </w:p>
    <w:p w14:paraId="0F67AFBF" w14:textId="77777777" w:rsidR="00AB3EE5" w:rsidRPr="00AB3EE5" w:rsidRDefault="00AB3EE5" w:rsidP="00AB3EE5">
      <w:pPr>
        <w:numPr>
          <w:ilvl w:val="0"/>
          <w:numId w:val="8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que la defensa intentaba reabrir una cuestión ya decidida mediante un mecanismo dilatorio. </w:t>
      </w:r>
    </w:p>
    <w:p w14:paraId="17CDECD5"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Solicitó:</w:t>
      </w:r>
    </w:p>
    <w:p w14:paraId="520374EE" w14:textId="77777777" w:rsidR="00AB3EE5" w:rsidRPr="00AB3EE5" w:rsidRDefault="00AB3EE5" w:rsidP="00AB3EE5">
      <w:pPr>
        <w:numPr>
          <w:ilvl w:val="0"/>
          <w:numId w:val="88"/>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rechazo del planteo de nulidad, </w:t>
      </w:r>
    </w:p>
    <w:p w14:paraId="69A9A839" w14:textId="77777777" w:rsidR="00AB3EE5" w:rsidRPr="00AB3EE5" w:rsidRDefault="00AB3EE5" w:rsidP="00AB3EE5">
      <w:pPr>
        <w:numPr>
          <w:ilvl w:val="0"/>
          <w:numId w:val="88"/>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con costas. </w:t>
      </w:r>
    </w:p>
    <w:p w14:paraId="2CA783C6"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3. Postura de la UIF</w:t>
      </w:r>
    </w:p>
    <w:p w14:paraId="31772071"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La Unidad de Información Financiera sostuvo que:</w:t>
      </w:r>
    </w:p>
    <w:p w14:paraId="42245CE7" w14:textId="77777777" w:rsidR="00AB3EE5" w:rsidRPr="00AB3EE5" w:rsidRDefault="00AB3EE5" w:rsidP="00AB3EE5">
      <w:pPr>
        <w:numPr>
          <w:ilvl w:val="0"/>
          <w:numId w:val="8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los hechos investigados no implicaban meramente perjuicio fiscal, </w:t>
      </w:r>
    </w:p>
    <w:p w14:paraId="080CD932" w14:textId="77777777" w:rsidR="00AB3EE5" w:rsidRPr="00AB3EE5" w:rsidRDefault="00AB3EE5" w:rsidP="00AB3EE5">
      <w:pPr>
        <w:numPr>
          <w:ilvl w:val="0"/>
          <w:numId w:val="8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sino simulación de operaciones de importación, </w:t>
      </w:r>
    </w:p>
    <w:p w14:paraId="6FF50D61" w14:textId="77777777" w:rsidR="00AB3EE5" w:rsidRPr="00AB3EE5" w:rsidRDefault="00AB3EE5" w:rsidP="00AB3EE5">
      <w:pPr>
        <w:numPr>
          <w:ilvl w:val="0"/>
          <w:numId w:val="8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destinadas a obtener beneficios económicos ilícitos, </w:t>
      </w:r>
    </w:p>
    <w:p w14:paraId="270F479D" w14:textId="77777777" w:rsidR="00AB3EE5" w:rsidRPr="00AB3EE5" w:rsidRDefault="00AB3EE5" w:rsidP="00AB3EE5">
      <w:pPr>
        <w:numPr>
          <w:ilvl w:val="0"/>
          <w:numId w:val="8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mediante afectación del control aduanero. </w:t>
      </w:r>
    </w:p>
    <w:p w14:paraId="103B11CD"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Por ello:</w:t>
      </w:r>
    </w:p>
    <w:p w14:paraId="4526AF0D" w14:textId="77777777" w:rsidR="00AB3EE5" w:rsidRPr="00AB3EE5" w:rsidRDefault="00AB3EE5" w:rsidP="00AB3EE5">
      <w:pPr>
        <w:numPr>
          <w:ilvl w:val="0"/>
          <w:numId w:val="9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entendió que no existía incertidumbre jurídica susceptible de justificar la acción declarativa de certeza; </w:t>
      </w:r>
    </w:p>
    <w:p w14:paraId="78166DCC" w14:textId="77777777" w:rsidR="00AB3EE5" w:rsidRPr="00AB3EE5" w:rsidRDefault="00AB3EE5" w:rsidP="00AB3EE5">
      <w:pPr>
        <w:numPr>
          <w:ilvl w:val="0"/>
          <w:numId w:val="9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ya que el régimen de regularización no resultaba aplicable a esos hechos. </w:t>
      </w:r>
    </w:p>
    <w:p w14:paraId="0F7F106A"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4. Postura de la fiscalía</w:t>
      </w:r>
    </w:p>
    <w:p w14:paraId="18A57C2A"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lastRenderedPageBreak/>
        <w:t xml:space="preserve">El </w:t>
      </w:r>
      <w:proofErr w:type="gramStart"/>
      <w:r w:rsidRPr="00AB3EE5">
        <w:rPr>
          <w:rFonts w:ascii="Times New Roman" w:eastAsia="Times New Roman" w:hAnsi="Times New Roman" w:cs="Times New Roman"/>
          <w:sz w:val="24"/>
          <w:szCs w:val="24"/>
          <w:lang w:eastAsia="es-AR"/>
        </w:rPr>
        <w:t>Fiscal General</w:t>
      </w:r>
      <w:proofErr w:type="gramEnd"/>
      <w:r w:rsidRPr="00AB3EE5">
        <w:rPr>
          <w:rFonts w:ascii="Times New Roman" w:eastAsia="Times New Roman" w:hAnsi="Times New Roman" w:cs="Times New Roman"/>
          <w:sz w:val="24"/>
          <w:szCs w:val="24"/>
          <w:lang w:eastAsia="es-AR"/>
        </w:rPr>
        <w:t xml:space="preserve"> Diego Velasco sostuvo que:</w:t>
      </w:r>
    </w:p>
    <w:p w14:paraId="1F991FF1" w14:textId="77777777" w:rsidR="00AB3EE5" w:rsidRPr="00AB3EE5" w:rsidRDefault="00AB3EE5" w:rsidP="00AB3EE5">
      <w:pPr>
        <w:numPr>
          <w:ilvl w:val="0"/>
          <w:numId w:val="91"/>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tutela judicial efectiva no garantiza un resultado favorable, </w:t>
      </w:r>
    </w:p>
    <w:p w14:paraId="506B1B5E" w14:textId="77777777" w:rsidR="00AB3EE5" w:rsidRPr="00AB3EE5" w:rsidRDefault="00AB3EE5" w:rsidP="00AB3EE5">
      <w:pPr>
        <w:numPr>
          <w:ilvl w:val="0"/>
          <w:numId w:val="91"/>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sino el acceso a una decisión razonada, dictada por juez competente y con respeto al debido proceso. </w:t>
      </w:r>
    </w:p>
    <w:p w14:paraId="3805D58B"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proofErr w:type="gramStart"/>
      <w:r w:rsidRPr="00AB3EE5">
        <w:rPr>
          <w:rFonts w:ascii="Times New Roman" w:eastAsia="Times New Roman" w:hAnsi="Times New Roman" w:cs="Times New Roman"/>
          <w:sz w:val="24"/>
          <w:szCs w:val="24"/>
          <w:lang w:eastAsia="es-AR"/>
        </w:rPr>
        <w:t>Asimismo</w:t>
      </w:r>
      <w:proofErr w:type="gramEnd"/>
      <w:r w:rsidRPr="00AB3EE5">
        <w:rPr>
          <w:rFonts w:ascii="Times New Roman" w:eastAsia="Times New Roman" w:hAnsi="Times New Roman" w:cs="Times New Roman"/>
          <w:sz w:val="24"/>
          <w:szCs w:val="24"/>
          <w:lang w:eastAsia="es-AR"/>
        </w:rPr>
        <w:t xml:space="preserve"> indicó que:</w:t>
      </w:r>
    </w:p>
    <w:p w14:paraId="52DDFAA7" w14:textId="77777777" w:rsidR="00AB3EE5" w:rsidRPr="00AB3EE5" w:rsidRDefault="00AB3EE5" w:rsidP="00AB3EE5">
      <w:pPr>
        <w:numPr>
          <w:ilvl w:val="0"/>
          <w:numId w:val="9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cuestión ya había sido resuelta; </w:t>
      </w:r>
    </w:p>
    <w:p w14:paraId="28E5CB9C" w14:textId="77777777" w:rsidR="00AB3EE5" w:rsidRPr="00AB3EE5" w:rsidRDefault="00AB3EE5" w:rsidP="00AB3EE5">
      <w:pPr>
        <w:numPr>
          <w:ilvl w:val="0"/>
          <w:numId w:val="9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no existía incertidumbre jurídica actual; </w:t>
      </w:r>
    </w:p>
    <w:p w14:paraId="12C0EB94" w14:textId="77777777" w:rsidR="00AB3EE5" w:rsidRPr="00AB3EE5" w:rsidRDefault="00AB3EE5" w:rsidP="00AB3EE5">
      <w:pPr>
        <w:numPr>
          <w:ilvl w:val="0"/>
          <w:numId w:val="9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la acción declarativa de certeza no podía utilizarse: </w:t>
      </w:r>
    </w:p>
    <w:p w14:paraId="0E1A4052" w14:textId="77777777" w:rsidR="00AB3EE5" w:rsidRPr="00AB3EE5" w:rsidRDefault="00AB3EE5" w:rsidP="00AB3EE5">
      <w:pPr>
        <w:numPr>
          <w:ilvl w:val="1"/>
          <w:numId w:val="9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para desplazar procedimientos específicos, </w:t>
      </w:r>
    </w:p>
    <w:p w14:paraId="20223C11" w14:textId="77777777" w:rsidR="00AB3EE5" w:rsidRPr="00AB3EE5" w:rsidRDefault="00AB3EE5" w:rsidP="00AB3EE5">
      <w:pPr>
        <w:numPr>
          <w:ilvl w:val="1"/>
          <w:numId w:val="9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ni para obtener decisiones consultivas o abstractas. </w:t>
      </w:r>
    </w:p>
    <w:p w14:paraId="5C672D71" w14:textId="77777777" w:rsidR="00AB3EE5" w:rsidRPr="00AB3EE5" w:rsidRDefault="004008F7" w:rsidP="00AB3EE5">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677DF201">
          <v:rect id="_x0000_i1044" style="width:0;height:1.5pt" o:hralign="center" o:hrstd="t" o:hr="t" fillcolor="#a0a0a0" stroked="f"/>
        </w:pict>
      </w:r>
    </w:p>
    <w:p w14:paraId="7D473D03"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III. Fundamentos fácticos, jurídicos y doctrinales del voto de cada juez</w:t>
      </w:r>
    </w:p>
    <w:p w14:paraId="30FC8AAF"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 xml:space="preserve">1. Voto del Dr. Ignacio Carlos </w:t>
      </w:r>
      <w:proofErr w:type="spellStart"/>
      <w:r w:rsidRPr="00AB3EE5">
        <w:rPr>
          <w:rFonts w:ascii="Times New Roman" w:eastAsia="Times New Roman" w:hAnsi="Times New Roman" w:cs="Times New Roman"/>
          <w:b/>
          <w:bCs/>
          <w:sz w:val="36"/>
          <w:szCs w:val="36"/>
          <w:lang w:eastAsia="es-AR"/>
        </w:rPr>
        <w:t>Fornari</w:t>
      </w:r>
      <w:proofErr w:type="spellEnd"/>
    </w:p>
    <w:p w14:paraId="6361394F"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Dr. </w:t>
      </w:r>
      <w:proofErr w:type="spellStart"/>
      <w:r w:rsidRPr="00AB3EE5">
        <w:rPr>
          <w:rFonts w:ascii="Times New Roman" w:eastAsia="Times New Roman" w:hAnsi="Times New Roman" w:cs="Times New Roman"/>
          <w:sz w:val="24"/>
          <w:szCs w:val="24"/>
          <w:lang w:eastAsia="es-AR"/>
        </w:rPr>
        <w:t>Fornari</w:t>
      </w:r>
      <w:proofErr w:type="spellEnd"/>
      <w:r w:rsidRPr="00AB3EE5">
        <w:rPr>
          <w:rFonts w:ascii="Times New Roman" w:eastAsia="Times New Roman" w:hAnsi="Times New Roman" w:cs="Times New Roman"/>
          <w:sz w:val="24"/>
          <w:szCs w:val="24"/>
          <w:lang w:eastAsia="es-AR"/>
        </w:rPr>
        <w:t xml:space="preserve"> emitió el voto principal.</w:t>
      </w:r>
    </w:p>
    <w:p w14:paraId="23E06E75"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a) Fundamentos fácticos</w:t>
      </w:r>
    </w:p>
    <w:p w14:paraId="73FA4169"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Reconstruyó:</w:t>
      </w:r>
    </w:p>
    <w:p w14:paraId="62AC6136" w14:textId="77777777" w:rsidR="00AB3EE5" w:rsidRPr="00AB3EE5" w:rsidRDefault="00AB3EE5" w:rsidP="00AB3EE5">
      <w:pPr>
        <w:numPr>
          <w:ilvl w:val="0"/>
          <w:numId w:val="9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totalidad del itinerario procesal, </w:t>
      </w:r>
    </w:p>
    <w:p w14:paraId="0A1A4F6E" w14:textId="77777777" w:rsidR="00AB3EE5" w:rsidRPr="00AB3EE5" w:rsidRDefault="00AB3EE5" w:rsidP="00AB3EE5">
      <w:pPr>
        <w:numPr>
          <w:ilvl w:val="0"/>
          <w:numId w:val="9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acción declarativa de certeza, </w:t>
      </w:r>
    </w:p>
    <w:p w14:paraId="2E65D746" w14:textId="77777777" w:rsidR="00AB3EE5" w:rsidRPr="00AB3EE5" w:rsidRDefault="00AB3EE5" w:rsidP="00AB3EE5">
      <w:pPr>
        <w:numPr>
          <w:ilvl w:val="0"/>
          <w:numId w:val="9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remisión desde el fuero contencioso administrativo, </w:t>
      </w:r>
    </w:p>
    <w:p w14:paraId="140067A2" w14:textId="77777777" w:rsidR="00AB3EE5" w:rsidRPr="00AB3EE5" w:rsidRDefault="00AB3EE5" w:rsidP="00AB3EE5">
      <w:pPr>
        <w:numPr>
          <w:ilvl w:val="0"/>
          <w:numId w:val="9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la sustanciación del incidente de extinción de la acción penal. </w:t>
      </w:r>
    </w:p>
    <w:p w14:paraId="6E94651A"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Destacó especialmente que:</w:t>
      </w:r>
    </w:p>
    <w:p w14:paraId="4DF77993" w14:textId="77777777" w:rsidR="00AB3EE5" w:rsidRPr="00AB3EE5" w:rsidRDefault="00AB3EE5" w:rsidP="00AB3EE5">
      <w:pPr>
        <w:numPr>
          <w:ilvl w:val="0"/>
          <w:numId w:val="9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cuestión ya había sido tratada y resuelta; </w:t>
      </w:r>
    </w:p>
    <w:p w14:paraId="29FFE23B" w14:textId="77777777" w:rsidR="00AB3EE5" w:rsidRPr="00AB3EE5" w:rsidRDefault="00AB3EE5" w:rsidP="00AB3EE5">
      <w:pPr>
        <w:numPr>
          <w:ilvl w:val="0"/>
          <w:numId w:val="9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que el imputado había tenido plena participación y posibilidad de defensa. </w:t>
      </w:r>
    </w:p>
    <w:p w14:paraId="5896C581"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b) Fundamentos jurídicos</w:t>
      </w:r>
    </w:p>
    <w:p w14:paraId="2B23B810"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El magistrado sostuvo que:</w:t>
      </w:r>
    </w:p>
    <w:p w14:paraId="1458FB42" w14:textId="77777777" w:rsidR="00AB3EE5" w:rsidRPr="00AB3EE5" w:rsidRDefault="00AB3EE5" w:rsidP="00AB3EE5">
      <w:pPr>
        <w:numPr>
          <w:ilvl w:val="0"/>
          <w:numId w:val="9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no existió incumplimiento de formas esenciales; </w:t>
      </w:r>
    </w:p>
    <w:p w14:paraId="34ABC45B" w14:textId="77777777" w:rsidR="00AB3EE5" w:rsidRPr="00AB3EE5" w:rsidRDefault="00AB3EE5" w:rsidP="00AB3EE5">
      <w:pPr>
        <w:numPr>
          <w:ilvl w:val="0"/>
          <w:numId w:val="9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incidente fue correctamente sustanciado conforme: </w:t>
      </w:r>
    </w:p>
    <w:p w14:paraId="3C98A56F" w14:textId="77777777" w:rsidR="00AB3EE5" w:rsidRPr="00AB3EE5" w:rsidRDefault="00AB3EE5" w:rsidP="00AB3EE5">
      <w:pPr>
        <w:numPr>
          <w:ilvl w:val="1"/>
          <w:numId w:val="9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arts. 339, </w:t>
      </w:r>
    </w:p>
    <w:p w14:paraId="470F6D03" w14:textId="77777777" w:rsidR="00AB3EE5" w:rsidRPr="00AB3EE5" w:rsidRDefault="00AB3EE5" w:rsidP="00AB3EE5">
      <w:pPr>
        <w:numPr>
          <w:ilvl w:val="1"/>
          <w:numId w:val="9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340, </w:t>
      </w:r>
    </w:p>
    <w:p w14:paraId="35D5F630" w14:textId="77777777" w:rsidR="00AB3EE5" w:rsidRPr="00AB3EE5" w:rsidRDefault="00AB3EE5" w:rsidP="00AB3EE5">
      <w:pPr>
        <w:numPr>
          <w:ilvl w:val="1"/>
          <w:numId w:val="9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358 CPPN. </w:t>
      </w:r>
    </w:p>
    <w:p w14:paraId="6C527111"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Indicó además que:</w:t>
      </w:r>
    </w:p>
    <w:p w14:paraId="31C88D04" w14:textId="77777777" w:rsidR="00AB3EE5" w:rsidRPr="00AB3EE5" w:rsidRDefault="00AB3EE5" w:rsidP="00AB3EE5">
      <w:pPr>
        <w:numPr>
          <w:ilvl w:val="0"/>
          <w:numId w:val="9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lastRenderedPageBreak/>
        <w:t xml:space="preserve">la vía adecuada para discutir la extinción de la acción penal era la excepción de falta de acción, </w:t>
      </w:r>
    </w:p>
    <w:p w14:paraId="75D6A565" w14:textId="77777777" w:rsidR="00AB3EE5" w:rsidRPr="00AB3EE5" w:rsidRDefault="00AB3EE5" w:rsidP="00AB3EE5">
      <w:pPr>
        <w:numPr>
          <w:ilvl w:val="0"/>
          <w:numId w:val="96"/>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no una acción declarativa de certeza autónoma. </w:t>
      </w:r>
    </w:p>
    <w:p w14:paraId="469416D1"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c) Fundamentos doctrinales y jurisprudenciales</w:t>
      </w:r>
    </w:p>
    <w:p w14:paraId="3A3C24F8"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El juez desarrolló extensamente:</w:t>
      </w:r>
    </w:p>
    <w:p w14:paraId="30631E27" w14:textId="77777777" w:rsidR="00AB3EE5" w:rsidRPr="00AB3EE5" w:rsidRDefault="00AB3EE5" w:rsidP="00AB3EE5">
      <w:pPr>
        <w:numPr>
          <w:ilvl w:val="0"/>
          <w:numId w:val="9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doctrina restrictiva de las nulidades procesales; </w:t>
      </w:r>
    </w:p>
    <w:p w14:paraId="658892C3" w14:textId="77777777" w:rsidR="00AB3EE5" w:rsidRPr="00AB3EE5" w:rsidRDefault="00AB3EE5" w:rsidP="00AB3EE5">
      <w:pPr>
        <w:numPr>
          <w:ilvl w:val="0"/>
          <w:numId w:val="9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el principio de trascendencia; </w:t>
      </w:r>
    </w:p>
    <w:p w14:paraId="43731F74" w14:textId="77777777" w:rsidR="00AB3EE5" w:rsidRPr="00AB3EE5" w:rsidRDefault="00AB3EE5" w:rsidP="00AB3EE5">
      <w:pPr>
        <w:numPr>
          <w:ilvl w:val="0"/>
          <w:numId w:val="97"/>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la necesidad de acreditar perjuicio concreto. </w:t>
      </w:r>
    </w:p>
    <w:p w14:paraId="328A6C19"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Citó:</w:t>
      </w:r>
    </w:p>
    <w:p w14:paraId="0361D573" w14:textId="77777777" w:rsidR="00AB3EE5" w:rsidRPr="00AB3EE5" w:rsidRDefault="00AB3EE5" w:rsidP="00AB3EE5">
      <w:pPr>
        <w:numPr>
          <w:ilvl w:val="0"/>
          <w:numId w:val="98"/>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jurisprudencia de la CSJN sobre nulidades, </w:t>
      </w:r>
    </w:p>
    <w:p w14:paraId="5B465280" w14:textId="77777777" w:rsidR="00AB3EE5" w:rsidRPr="00AB3EE5" w:rsidRDefault="00AB3EE5" w:rsidP="00AB3EE5">
      <w:pPr>
        <w:numPr>
          <w:ilvl w:val="0"/>
          <w:numId w:val="98"/>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doctrina de Pessoa, </w:t>
      </w:r>
    </w:p>
    <w:p w14:paraId="33D7DB68" w14:textId="77777777" w:rsidR="00AB3EE5" w:rsidRPr="00AB3EE5" w:rsidRDefault="00AB3EE5" w:rsidP="00AB3EE5">
      <w:pPr>
        <w:numPr>
          <w:ilvl w:val="0"/>
          <w:numId w:val="98"/>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doctrina de Navarro y </w:t>
      </w:r>
      <w:proofErr w:type="spellStart"/>
      <w:r w:rsidRPr="00AB3EE5">
        <w:rPr>
          <w:rFonts w:ascii="Times New Roman" w:eastAsia="Times New Roman" w:hAnsi="Times New Roman" w:cs="Times New Roman"/>
          <w:sz w:val="24"/>
          <w:szCs w:val="24"/>
          <w:lang w:eastAsia="es-AR"/>
        </w:rPr>
        <w:t>Daray</w:t>
      </w:r>
      <w:proofErr w:type="spellEnd"/>
      <w:r w:rsidRPr="00AB3EE5">
        <w:rPr>
          <w:rFonts w:ascii="Times New Roman" w:eastAsia="Times New Roman" w:hAnsi="Times New Roman" w:cs="Times New Roman"/>
          <w:sz w:val="24"/>
          <w:szCs w:val="24"/>
          <w:lang w:eastAsia="es-AR"/>
        </w:rPr>
        <w:t xml:space="preserve">. </w:t>
      </w:r>
    </w:p>
    <w:p w14:paraId="7B08F5A0"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También citó el precedente de la CSJN:</w:t>
      </w:r>
    </w:p>
    <w:p w14:paraId="21C3FAF4" w14:textId="77777777" w:rsidR="00AB3EE5" w:rsidRPr="00AB3EE5" w:rsidRDefault="00AB3EE5" w:rsidP="00AB3EE5">
      <w:pPr>
        <w:numPr>
          <w:ilvl w:val="0"/>
          <w:numId w:val="9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“Carlos E. </w:t>
      </w:r>
      <w:proofErr w:type="spellStart"/>
      <w:r w:rsidRPr="00AB3EE5">
        <w:rPr>
          <w:rFonts w:ascii="Times New Roman" w:eastAsia="Times New Roman" w:hAnsi="Times New Roman" w:cs="Times New Roman"/>
          <w:sz w:val="24"/>
          <w:szCs w:val="24"/>
          <w:lang w:eastAsia="es-AR"/>
        </w:rPr>
        <w:t>Enriquez</w:t>
      </w:r>
      <w:proofErr w:type="spellEnd"/>
      <w:r w:rsidRPr="00AB3EE5">
        <w:rPr>
          <w:rFonts w:ascii="Times New Roman" w:eastAsia="Times New Roman" w:hAnsi="Times New Roman" w:cs="Times New Roman"/>
          <w:sz w:val="24"/>
          <w:szCs w:val="24"/>
          <w:lang w:eastAsia="es-AR"/>
        </w:rPr>
        <w:t xml:space="preserve"> S.A. y otros UTE c/ AFIP”, </w:t>
      </w:r>
    </w:p>
    <w:p w14:paraId="767F37FB" w14:textId="77777777" w:rsidR="00AB3EE5" w:rsidRPr="00AB3EE5" w:rsidRDefault="00AB3EE5" w:rsidP="00AB3EE5">
      <w:pPr>
        <w:numPr>
          <w:ilvl w:val="0"/>
          <w:numId w:val="99"/>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respecto del carácter subsidiario de la acción declarativa de certeza. </w:t>
      </w:r>
    </w:p>
    <w:p w14:paraId="0993941E" w14:textId="77777777" w:rsidR="00AB3EE5" w:rsidRPr="00AB3EE5" w:rsidRDefault="00AB3EE5" w:rsidP="00AB3EE5">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AB3EE5">
        <w:rPr>
          <w:rFonts w:ascii="Times New Roman" w:eastAsia="Times New Roman" w:hAnsi="Times New Roman" w:cs="Times New Roman"/>
          <w:b/>
          <w:bCs/>
          <w:sz w:val="27"/>
          <w:szCs w:val="27"/>
          <w:lang w:eastAsia="es-AR"/>
        </w:rPr>
        <w:t>d) Conclusión del voto</w:t>
      </w:r>
    </w:p>
    <w:p w14:paraId="7DA60728"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Concluyó que:</w:t>
      </w:r>
    </w:p>
    <w:p w14:paraId="656D7593" w14:textId="77777777" w:rsidR="00AB3EE5" w:rsidRPr="00AB3EE5" w:rsidRDefault="00AB3EE5" w:rsidP="00AB3EE5">
      <w:pPr>
        <w:numPr>
          <w:ilvl w:val="0"/>
          <w:numId w:val="10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no existió lesión al debido proceso; </w:t>
      </w:r>
    </w:p>
    <w:p w14:paraId="334485E9" w14:textId="77777777" w:rsidR="00AB3EE5" w:rsidRPr="00AB3EE5" w:rsidRDefault="00AB3EE5" w:rsidP="00AB3EE5">
      <w:pPr>
        <w:numPr>
          <w:ilvl w:val="0"/>
          <w:numId w:val="10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no hubo afectación a la tutela judicial efectiva; </w:t>
      </w:r>
    </w:p>
    <w:p w14:paraId="66D1F8A2" w14:textId="77777777" w:rsidR="00AB3EE5" w:rsidRPr="00AB3EE5" w:rsidRDefault="00AB3EE5" w:rsidP="00AB3EE5">
      <w:pPr>
        <w:numPr>
          <w:ilvl w:val="0"/>
          <w:numId w:val="10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no existió perjuicio concreto; </w:t>
      </w:r>
    </w:p>
    <w:p w14:paraId="203C5983" w14:textId="77777777" w:rsidR="00AB3EE5" w:rsidRPr="00AB3EE5" w:rsidRDefault="00AB3EE5" w:rsidP="00AB3EE5">
      <w:pPr>
        <w:numPr>
          <w:ilvl w:val="0"/>
          <w:numId w:val="100"/>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que la defensa pretendía reabrir una cuestión ya resuelta. </w:t>
      </w:r>
    </w:p>
    <w:p w14:paraId="4642B754"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Propuso:</w:t>
      </w:r>
    </w:p>
    <w:p w14:paraId="087FE8F6" w14:textId="77777777" w:rsidR="00AB3EE5" w:rsidRPr="00AB3EE5" w:rsidRDefault="00AB3EE5" w:rsidP="00AB3EE5">
      <w:pPr>
        <w:numPr>
          <w:ilvl w:val="0"/>
          <w:numId w:val="101"/>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rechazar la nulidad, </w:t>
      </w:r>
    </w:p>
    <w:p w14:paraId="2E18D7DF" w14:textId="77777777" w:rsidR="00AB3EE5" w:rsidRPr="00AB3EE5" w:rsidRDefault="00AB3EE5" w:rsidP="00AB3EE5">
      <w:pPr>
        <w:numPr>
          <w:ilvl w:val="0"/>
          <w:numId w:val="101"/>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rechazar un nuevo pronunciamiento sobre la ley 27.743, </w:t>
      </w:r>
    </w:p>
    <w:p w14:paraId="0A1E49D3" w14:textId="77777777" w:rsidR="00AB3EE5" w:rsidRPr="00AB3EE5" w:rsidRDefault="00AB3EE5" w:rsidP="00AB3EE5">
      <w:pPr>
        <w:numPr>
          <w:ilvl w:val="0"/>
          <w:numId w:val="101"/>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y mantener costas a cargo del </w:t>
      </w:r>
      <w:proofErr w:type="spellStart"/>
      <w:r w:rsidRPr="00AB3EE5">
        <w:rPr>
          <w:rFonts w:ascii="Times New Roman" w:eastAsia="Times New Roman" w:hAnsi="Times New Roman" w:cs="Times New Roman"/>
          <w:sz w:val="24"/>
          <w:szCs w:val="24"/>
          <w:lang w:eastAsia="es-AR"/>
        </w:rPr>
        <w:t>incidentista</w:t>
      </w:r>
      <w:proofErr w:type="spellEnd"/>
      <w:r w:rsidRPr="00AB3EE5">
        <w:rPr>
          <w:rFonts w:ascii="Times New Roman" w:eastAsia="Times New Roman" w:hAnsi="Times New Roman" w:cs="Times New Roman"/>
          <w:sz w:val="24"/>
          <w:szCs w:val="24"/>
          <w:lang w:eastAsia="es-AR"/>
        </w:rPr>
        <w:t xml:space="preserve">. </w:t>
      </w:r>
    </w:p>
    <w:p w14:paraId="4702E5E4" w14:textId="77777777" w:rsidR="00AB3EE5" w:rsidRPr="00AB3EE5" w:rsidRDefault="004008F7" w:rsidP="00AB3EE5">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65BA0553">
          <v:rect id="_x0000_i1045" style="width:0;height:1.5pt" o:hralign="center" o:hrstd="t" o:hr="t" fillcolor="#a0a0a0" stroked="f"/>
        </w:pict>
      </w:r>
    </w:p>
    <w:p w14:paraId="553A252F"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2. Voto del Dr. Diego García Berro</w:t>
      </w:r>
    </w:p>
    <w:p w14:paraId="32B14F3F"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El Dr. García Berro:</w:t>
      </w:r>
    </w:p>
    <w:p w14:paraId="5739EF30" w14:textId="77777777" w:rsidR="00AB3EE5" w:rsidRPr="00AB3EE5" w:rsidRDefault="00AB3EE5" w:rsidP="00AB3EE5">
      <w:pPr>
        <w:numPr>
          <w:ilvl w:val="0"/>
          <w:numId w:val="10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dejó a salvo su opinión personal previa vinculada a una inhibición anterior, </w:t>
      </w:r>
    </w:p>
    <w:p w14:paraId="6499F354" w14:textId="77777777" w:rsidR="00AB3EE5" w:rsidRPr="00AB3EE5" w:rsidRDefault="00AB3EE5" w:rsidP="00AB3EE5">
      <w:pPr>
        <w:numPr>
          <w:ilvl w:val="0"/>
          <w:numId w:val="102"/>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pero manifestó coincidir sustancialmente con el voto del Dr. </w:t>
      </w:r>
      <w:proofErr w:type="spellStart"/>
      <w:r w:rsidRPr="00AB3EE5">
        <w:rPr>
          <w:rFonts w:ascii="Times New Roman" w:eastAsia="Times New Roman" w:hAnsi="Times New Roman" w:cs="Times New Roman"/>
          <w:sz w:val="24"/>
          <w:szCs w:val="24"/>
          <w:lang w:eastAsia="es-AR"/>
        </w:rPr>
        <w:t>Fornari</w:t>
      </w:r>
      <w:proofErr w:type="spellEnd"/>
      <w:r w:rsidRPr="00AB3EE5">
        <w:rPr>
          <w:rFonts w:ascii="Times New Roman" w:eastAsia="Times New Roman" w:hAnsi="Times New Roman" w:cs="Times New Roman"/>
          <w:sz w:val="24"/>
          <w:szCs w:val="24"/>
          <w:lang w:eastAsia="es-AR"/>
        </w:rPr>
        <w:t xml:space="preserve">. </w:t>
      </w:r>
    </w:p>
    <w:p w14:paraId="0118D721"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Adhirió:</w:t>
      </w:r>
    </w:p>
    <w:p w14:paraId="3101B8E6" w14:textId="77777777" w:rsidR="00AB3EE5" w:rsidRPr="00AB3EE5" w:rsidRDefault="00AB3EE5" w:rsidP="00AB3EE5">
      <w:pPr>
        <w:numPr>
          <w:ilvl w:val="0"/>
          <w:numId w:val="10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lastRenderedPageBreak/>
        <w:t xml:space="preserve">tanto a los fundamentos, </w:t>
      </w:r>
    </w:p>
    <w:p w14:paraId="2A1F13F8" w14:textId="77777777" w:rsidR="00AB3EE5" w:rsidRPr="00AB3EE5" w:rsidRDefault="00AB3EE5" w:rsidP="00AB3EE5">
      <w:pPr>
        <w:numPr>
          <w:ilvl w:val="0"/>
          <w:numId w:val="103"/>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como a las conclusiones del voto líder. </w:t>
      </w:r>
    </w:p>
    <w:p w14:paraId="054DC9DB" w14:textId="77777777" w:rsidR="00AB3EE5" w:rsidRPr="00AB3EE5" w:rsidRDefault="004008F7" w:rsidP="00AB3EE5">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2C6B2FBF">
          <v:rect id="_x0000_i1046" style="width:0;height:1.5pt" o:hralign="center" o:hrstd="t" o:hr="t" fillcolor="#a0a0a0" stroked="f"/>
        </w:pict>
      </w:r>
    </w:p>
    <w:p w14:paraId="14458D99"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 xml:space="preserve">3. Voto de la Dra. Sabrina </w:t>
      </w:r>
      <w:proofErr w:type="spellStart"/>
      <w:r w:rsidRPr="00AB3EE5">
        <w:rPr>
          <w:rFonts w:ascii="Times New Roman" w:eastAsia="Times New Roman" w:hAnsi="Times New Roman" w:cs="Times New Roman"/>
          <w:b/>
          <w:bCs/>
          <w:sz w:val="36"/>
          <w:szCs w:val="36"/>
          <w:lang w:eastAsia="es-AR"/>
        </w:rPr>
        <w:t>Namer</w:t>
      </w:r>
      <w:proofErr w:type="spellEnd"/>
    </w:p>
    <w:p w14:paraId="4B55D6CC"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La Dra. Sabrina </w:t>
      </w:r>
      <w:proofErr w:type="spellStart"/>
      <w:r w:rsidRPr="00AB3EE5">
        <w:rPr>
          <w:rFonts w:ascii="Times New Roman" w:eastAsia="Times New Roman" w:hAnsi="Times New Roman" w:cs="Times New Roman"/>
          <w:sz w:val="24"/>
          <w:szCs w:val="24"/>
          <w:lang w:eastAsia="es-AR"/>
        </w:rPr>
        <w:t>Namer</w:t>
      </w:r>
      <w:proofErr w:type="spellEnd"/>
      <w:r w:rsidRPr="00AB3EE5">
        <w:rPr>
          <w:rFonts w:ascii="Times New Roman" w:eastAsia="Times New Roman" w:hAnsi="Times New Roman" w:cs="Times New Roman"/>
          <w:sz w:val="24"/>
          <w:szCs w:val="24"/>
          <w:lang w:eastAsia="es-AR"/>
        </w:rPr>
        <w:t>:</w:t>
      </w:r>
    </w:p>
    <w:p w14:paraId="371E38BF" w14:textId="77777777" w:rsidR="00AB3EE5" w:rsidRPr="00AB3EE5" w:rsidRDefault="00AB3EE5" w:rsidP="00AB3EE5">
      <w:pPr>
        <w:numPr>
          <w:ilvl w:val="0"/>
          <w:numId w:val="10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adhirió íntegramente al voto del Dr. </w:t>
      </w:r>
      <w:proofErr w:type="spellStart"/>
      <w:r w:rsidRPr="00AB3EE5">
        <w:rPr>
          <w:rFonts w:ascii="Times New Roman" w:eastAsia="Times New Roman" w:hAnsi="Times New Roman" w:cs="Times New Roman"/>
          <w:sz w:val="24"/>
          <w:szCs w:val="24"/>
          <w:lang w:eastAsia="es-AR"/>
        </w:rPr>
        <w:t>Fornari</w:t>
      </w:r>
      <w:proofErr w:type="spellEnd"/>
      <w:r w:rsidRPr="00AB3EE5">
        <w:rPr>
          <w:rFonts w:ascii="Times New Roman" w:eastAsia="Times New Roman" w:hAnsi="Times New Roman" w:cs="Times New Roman"/>
          <w:sz w:val="24"/>
          <w:szCs w:val="24"/>
          <w:lang w:eastAsia="es-AR"/>
        </w:rPr>
        <w:t xml:space="preserve">, </w:t>
      </w:r>
    </w:p>
    <w:p w14:paraId="1D73D772" w14:textId="77777777" w:rsidR="00AB3EE5" w:rsidRPr="00AB3EE5" w:rsidRDefault="00AB3EE5" w:rsidP="00AB3EE5">
      <w:pPr>
        <w:numPr>
          <w:ilvl w:val="0"/>
          <w:numId w:val="104"/>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por compartir sustancialmente sus fundamentos. </w:t>
      </w:r>
    </w:p>
    <w:p w14:paraId="001D0503" w14:textId="77777777" w:rsidR="00AB3EE5" w:rsidRPr="00AB3EE5" w:rsidRDefault="004008F7" w:rsidP="00AB3EE5">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27139020">
          <v:rect id="_x0000_i1047" style="width:0;height:1.5pt" o:hralign="center" o:hrstd="t" o:hr="t" fillcolor="#a0a0a0" stroked="f"/>
        </w:pict>
      </w:r>
    </w:p>
    <w:p w14:paraId="7455FA56" w14:textId="77777777" w:rsidR="00AB3EE5" w:rsidRPr="00AB3EE5" w:rsidRDefault="00AB3EE5" w:rsidP="00AB3EE5">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AB3EE5">
        <w:rPr>
          <w:rFonts w:ascii="Times New Roman" w:eastAsia="Times New Roman" w:hAnsi="Times New Roman" w:cs="Times New Roman"/>
          <w:b/>
          <w:bCs/>
          <w:sz w:val="36"/>
          <w:szCs w:val="36"/>
          <w:lang w:eastAsia="es-AR"/>
        </w:rPr>
        <w:t>IV. Resolución de la causa</w:t>
      </w:r>
    </w:p>
    <w:p w14:paraId="2171A291" w14:textId="77777777" w:rsidR="00AB3EE5" w:rsidRPr="00AB3EE5" w:rsidRDefault="00AB3EE5" w:rsidP="00AB3EE5">
      <w:p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El Tribunal resolvió:</w:t>
      </w:r>
    </w:p>
    <w:p w14:paraId="1F765724" w14:textId="77777777" w:rsidR="00AB3EE5" w:rsidRPr="00AB3EE5" w:rsidRDefault="00AB3EE5" w:rsidP="00AB3EE5">
      <w:pPr>
        <w:numPr>
          <w:ilvl w:val="0"/>
          <w:numId w:val="10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 xml:space="preserve">Rechazar el planteo de nulidad promovido por Dayán Barnatán respecto de la resolución del 20/11/2025, con costas. </w:t>
      </w:r>
    </w:p>
    <w:p w14:paraId="19F9B7FA" w14:textId="6DC9B012" w:rsidR="00AB3EE5" w:rsidRDefault="00AB3EE5" w:rsidP="00AB3EE5">
      <w:pPr>
        <w:numPr>
          <w:ilvl w:val="0"/>
          <w:numId w:val="105"/>
        </w:numPr>
        <w:spacing w:before="100" w:beforeAutospacing="1" w:after="100" w:afterAutospacing="1" w:line="240" w:lineRule="auto"/>
        <w:rPr>
          <w:rFonts w:ascii="Times New Roman" w:eastAsia="Times New Roman" w:hAnsi="Times New Roman" w:cs="Times New Roman"/>
          <w:sz w:val="24"/>
          <w:szCs w:val="24"/>
          <w:lang w:eastAsia="es-AR"/>
        </w:rPr>
      </w:pPr>
      <w:r w:rsidRPr="00AB3EE5">
        <w:rPr>
          <w:rFonts w:ascii="Times New Roman" w:eastAsia="Times New Roman" w:hAnsi="Times New Roman" w:cs="Times New Roman"/>
          <w:sz w:val="24"/>
          <w:szCs w:val="24"/>
          <w:lang w:eastAsia="es-AR"/>
        </w:rPr>
        <w:t>Rechazar el pedido para que el Tribunal emita un nuevo pronunciamiento acerca de la procedencia de los beneficios de la ley 27.743.</w:t>
      </w:r>
    </w:p>
    <w:p w14:paraId="6D749EFE" w14:textId="2E046B3D" w:rsid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p>
    <w:p w14:paraId="585FDCE2" w14:textId="1B1F9DB9" w:rsidR="001E406D" w:rsidRPr="00421ADD" w:rsidRDefault="001E406D" w:rsidP="00421ADD">
      <w:pPr>
        <w:spacing w:before="100" w:beforeAutospacing="1" w:after="100" w:afterAutospacing="1" w:line="240" w:lineRule="auto"/>
        <w:jc w:val="both"/>
        <w:rPr>
          <w:rFonts w:ascii="Times New Roman" w:eastAsia="Times New Roman" w:hAnsi="Times New Roman" w:cs="Times New Roman"/>
          <w:b/>
          <w:bCs/>
          <w:sz w:val="24"/>
          <w:szCs w:val="24"/>
          <w:u w:val="single"/>
          <w:lang w:eastAsia="es-AR"/>
        </w:rPr>
      </w:pPr>
      <w:r w:rsidRPr="00421ADD">
        <w:rPr>
          <w:rFonts w:ascii="Times New Roman" w:eastAsia="Times New Roman" w:hAnsi="Times New Roman" w:cs="Times New Roman"/>
          <w:b/>
          <w:bCs/>
          <w:sz w:val="24"/>
          <w:szCs w:val="24"/>
          <w:u w:val="single"/>
          <w:lang w:eastAsia="es-AR"/>
        </w:rPr>
        <w:t>FALLO VI. “</w:t>
      </w:r>
      <w:proofErr w:type="spellStart"/>
      <w:r w:rsidRPr="00421ADD">
        <w:rPr>
          <w:rFonts w:ascii="Times New Roman" w:eastAsia="Times New Roman" w:hAnsi="Times New Roman" w:cs="Times New Roman"/>
          <w:b/>
          <w:bCs/>
          <w:sz w:val="24"/>
          <w:szCs w:val="24"/>
          <w:u w:val="single"/>
          <w:lang w:eastAsia="es-AR"/>
        </w:rPr>
        <w:t>Masip</w:t>
      </w:r>
      <w:proofErr w:type="spellEnd"/>
      <w:r w:rsidRPr="00421ADD">
        <w:rPr>
          <w:rFonts w:ascii="Times New Roman" w:eastAsia="Times New Roman" w:hAnsi="Times New Roman" w:cs="Times New Roman"/>
          <w:b/>
          <w:bCs/>
          <w:sz w:val="24"/>
          <w:szCs w:val="24"/>
          <w:u w:val="single"/>
          <w:lang w:eastAsia="es-AR"/>
        </w:rPr>
        <w:t xml:space="preserve">, Juan Sebastián y </w:t>
      </w:r>
      <w:proofErr w:type="spellStart"/>
      <w:r w:rsidRPr="00421ADD">
        <w:rPr>
          <w:rFonts w:ascii="Times New Roman" w:eastAsia="Times New Roman" w:hAnsi="Times New Roman" w:cs="Times New Roman"/>
          <w:b/>
          <w:bCs/>
          <w:sz w:val="24"/>
          <w:szCs w:val="24"/>
          <w:u w:val="single"/>
          <w:lang w:eastAsia="es-AR"/>
        </w:rPr>
        <w:t>otro s</w:t>
      </w:r>
      <w:proofErr w:type="spellEnd"/>
      <w:r w:rsidRPr="00421ADD">
        <w:rPr>
          <w:rFonts w:ascii="Times New Roman" w:eastAsia="Times New Roman" w:hAnsi="Times New Roman" w:cs="Times New Roman"/>
          <w:b/>
          <w:bCs/>
          <w:sz w:val="24"/>
          <w:szCs w:val="24"/>
          <w:u w:val="single"/>
          <w:lang w:eastAsia="es-AR"/>
        </w:rPr>
        <w:t>/ infracción art. 303 CP – querellante AFIP”</w:t>
      </w:r>
      <w:r w:rsidR="002A228C" w:rsidRPr="00421ADD">
        <w:rPr>
          <w:rFonts w:ascii="Times New Roman" w:eastAsia="Times New Roman" w:hAnsi="Times New Roman" w:cs="Times New Roman"/>
          <w:b/>
          <w:bCs/>
          <w:sz w:val="24"/>
          <w:szCs w:val="24"/>
          <w:u w:val="single"/>
          <w:lang w:eastAsia="es-AR"/>
        </w:rPr>
        <w:t xml:space="preserve"> TOF Neuquén</w:t>
      </w:r>
      <w:r w:rsidRPr="00421ADD">
        <w:rPr>
          <w:rFonts w:ascii="Times New Roman" w:eastAsia="Times New Roman" w:hAnsi="Times New Roman" w:cs="Times New Roman"/>
          <w:b/>
          <w:bCs/>
          <w:sz w:val="24"/>
          <w:szCs w:val="24"/>
          <w:u w:val="single"/>
          <w:lang w:eastAsia="es-AR"/>
        </w:rPr>
        <w:t>. 2</w:t>
      </w:r>
      <w:r w:rsidR="002A228C" w:rsidRPr="00421ADD">
        <w:rPr>
          <w:rFonts w:ascii="Times New Roman" w:eastAsia="Times New Roman" w:hAnsi="Times New Roman" w:cs="Times New Roman"/>
          <w:b/>
          <w:bCs/>
          <w:sz w:val="24"/>
          <w:szCs w:val="24"/>
          <w:u w:val="single"/>
          <w:lang w:eastAsia="es-AR"/>
        </w:rPr>
        <w:t>2</w:t>
      </w:r>
      <w:r w:rsidRPr="00421ADD">
        <w:rPr>
          <w:rFonts w:ascii="Times New Roman" w:eastAsia="Times New Roman" w:hAnsi="Times New Roman" w:cs="Times New Roman"/>
          <w:b/>
          <w:bCs/>
          <w:sz w:val="24"/>
          <w:szCs w:val="24"/>
          <w:u w:val="single"/>
          <w:lang w:eastAsia="es-AR"/>
        </w:rPr>
        <w:t>/4/2026</w:t>
      </w:r>
      <w:r w:rsidR="002A228C" w:rsidRPr="00421ADD">
        <w:rPr>
          <w:rFonts w:ascii="Times New Roman" w:eastAsia="Times New Roman" w:hAnsi="Times New Roman" w:cs="Times New Roman"/>
          <w:b/>
          <w:bCs/>
          <w:sz w:val="24"/>
          <w:szCs w:val="24"/>
          <w:u w:val="single"/>
          <w:lang w:eastAsia="es-AR"/>
        </w:rPr>
        <w:t xml:space="preserve"> </w:t>
      </w:r>
    </w:p>
    <w:p w14:paraId="460948BE" w14:textId="2C3F5AE1" w:rsidR="002A228C" w:rsidRPr="002A228C" w:rsidRDefault="001E406D" w:rsidP="002A228C">
      <w:pPr>
        <w:spacing w:before="100" w:beforeAutospacing="1" w:after="100" w:afterAutospacing="1"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t xml:space="preserve">Se </w:t>
      </w:r>
      <w:r w:rsidR="002A228C" w:rsidRPr="002A228C">
        <w:rPr>
          <w:rFonts w:ascii="Times New Roman" w:eastAsia="Times New Roman" w:hAnsi="Times New Roman" w:cs="Times New Roman"/>
          <w:sz w:val="24"/>
          <w:szCs w:val="24"/>
          <w:lang w:eastAsia="es-AR"/>
        </w:rPr>
        <w:t xml:space="preserve">resolvió un incidente de falta de acción y pedido de sobreseimiento definitivo promovido por la defensa de los imputados Juan Sebastián </w:t>
      </w:r>
      <w:proofErr w:type="spellStart"/>
      <w:r w:rsidR="002A228C" w:rsidRPr="002A228C">
        <w:rPr>
          <w:rFonts w:ascii="Times New Roman" w:eastAsia="Times New Roman" w:hAnsi="Times New Roman" w:cs="Times New Roman"/>
          <w:sz w:val="24"/>
          <w:szCs w:val="24"/>
          <w:lang w:eastAsia="es-AR"/>
        </w:rPr>
        <w:t>Masip</w:t>
      </w:r>
      <w:proofErr w:type="spellEnd"/>
      <w:r w:rsidR="002A228C" w:rsidRPr="002A228C">
        <w:rPr>
          <w:rFonts w:ascii="Times New Roman" w:eastAsia="Times New Roman" w:hAnsi="Times New Roman" w:cs="Times New Roman"/>
          <w:sz w:val="24"/>
          <w:szCs w:val="24"/>
          <w:lang w:eastAsia="es-AR"/>
        </w:rPr>
        <w:t xml:space="preserve"> y Juan Francisco </w:t>
      </w:r>
      <w:proofErr w:type="spellStart"/>
      <w:r w:rsidR="002A228C" w:rsidRPr="002A228C">
        <w:rPr>
          <w:rFonts w:ascii="Times New Roman" w:eastAsia="Times New Roman" w:hAnsi="Times New Roman" w:cs="Times New Roman"/>
          <w:sz w:val="24"/>
          <w:szCs w:val="24"/>
          <w:lang w:eastAsia="es-AR"/>
        </w:rPr>
        <w:t>Masip</w:t>
      </w:r>
      <w:proofErr w:type="spellEnd"/>
      <w:r w:rsidR="002A228C" w:rsidRPr="002A228C">
        <w:rPr>
          <w:rFonts w:ascii="Times New Roman" w:eastAsia="Times New Roman" w:hAnsi="Times New Roman" w:cs="Times New Roman"/>
          <w:sz w:val="24"/>
          <w:szCs w:val="24"/>
          <w:lang w:eastAsia="es-AR"/>
        </w:rPr>
        <w:t xml:space="preserve">, fundado en la aplicación retroactiva de la Ley 27.799 (“Ley de Inocencia Fiscal”). </w:t>
      </w:r>
    </w:p>
    <w:p w14:paraId="6D3869A0"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2BE7C44">
          <v:rect id="_x0000_i1048" style="width:0;height:1.5pt" o:hralign="center" o:hrstd="t" o:hr="t" fillcolor="#a0a0a0" stroked="f"/>
        </w:pict>
      </w:r>
    </w:p>
    <w:p w14:paraId="28391FB4" w14:textId="77777777" w:rsidR="002A228C" w:rsidRPr="002A228C" w:rsidRDefault="002A228C" w:rsidP="002A228C">
      <w:pPr>
        <w:spacing w:before="100" w:beforeAutospacing="1" w:after="100" w:afterAutospacing="1" w:line="240" w:lineRule="auto"/>
        <w:outlineLvl w:val="0"/>
        <w:rPr>
          <w:rFonts w:ascii="Times New Roman" w:eastAsia="Times New Roman" w:hAnsi="Times New Roman" w:cs="Times New Roman"/>
          <w:b/>
          <w:bCs/>
          <w:kern w:val="36"/>
          <w:sz w:val="48"/>
          <w:szCs w:val="48"/>
          <w:lang w:eastAsia="es-AR"/>
        </w:rPr>
      </w:pPr>
      <w:r w:rsidRPr="002A228C">
        <w:rPr>
          <w:rFonts w:ascii="Times New Roman" w:eastAsia="Times New Roman" w:hAnsi="Times New Roman" w:cs="Times New Roman"/>
          <w:b/>
          <w:bCs/>
          <w:kern w:val="36"/>
          <w:sz w:val="48"/>
          <w:szCs w:val="48"/>
          <w:lang w:eastAsia="es-AR"/>
        </w:rPr>
        <w:t>I. Antecedentes fácticos y jurídicos desarrollados en el fallo</w:t>
      </w:r>
    </w:p>
    <w:p w14:paraId="32820A8B"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1. Contexto procesal y objeto del incidente</w:t>
      </w:r>
    </w:p>
    <w:p w14:paraId="41DB3B48"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La causa principal tramita por:</w:t>
      </w:r>
    </w:p>
    <w:p w14:paraId="127E0942" w14:textId="77777777" w:rsidR="002A228C" w:rsidRPr="002A228C" w:rsidRDefault="002A228C" w:rsidP="002A228C">
      <w:pPr>
        <w:numPr>
          <w:ilvl w:val="0"/>
          <w:numId w:val="10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presuntas infracciones tributarias, </w:t>
      </w:r>
    </w:p>
    <w:p w14:paraId="0835E320" w14:textId="77777777" w:rsidR="002A228C" w:rsidRPr="002A228C" w:rsidRDefault="002A228C" w:rsidP="002A228C">
      <w:pPr>
        <w:numPr>
          <w:ilvl w:val="0"/>
          <w:numId w:val="106"/>
        </w:numPr>
        <w:spacing w:before="100" w:beforeAutospacing="1" w:after="100" w:afterAutospacing="1" w:line="240" w:lineRule="auto"/>
        <w:rPr>
          <w:rFonts w:ascii="Times New Roman" w:eastAsia="Times New Roman" w:hAnsi="Times New Roman" w:cs="Times New Roman"/>
          <w:sz w:val="24"/>
          <w:szCs w:val="24"/>
          <w:lang w:eastAsia="es-AR"/>
        </w:rPr>
      </w:pPr>
      <w:proofErr w:type="spellStart"/>
      <w:r w:rsidRPr="002A228C">
        <w:rPr>
          <w:rFonts w:ascii="Times New Roman" w:eastAsia="Times New Roman" w:hAnsi="Times New Roman" w:cs="Times New Roman"/>
          <w:sz w:val="24"/>
          <w:szCs w:val="24"/>
          <w:lang w:eastAsia="es-AR"/>
        </w:rPr>
        <w:t>e</w:t>
      </w:r>
      <w:proofErr w:type="spellEnd"/>
      <w:r w:rsidRPr="002A228C">
        <w:rPr>
          <w:rFonts w:ascii="Times New Roman" w:eastAsia="Times New Roman" w:hAnsi="Times New Roman" w:cs="Times New Roman"/>
          <w:sz w:val="24"/>
          <w:szCs w:val="24"/>
          <w:lang w:eastAsia="es-AR"/>
        </w:rPr>
        <w:t xml:space="preserve"> imputaciones por lavado de activos (art. 303 CP). </w:t>
      </w:r>
    </w:p>
    <w:p w14:paraId="1656F44E"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La defensa técnica de:</w:t>
      </w:r>
    </w:p>
    <w:p w14:paraId="20E71839" w14:textId="77777777" w:rsidR="002A228C" w:rsidRPr="002A228C" w:rsidRDefault="002A228C" w:rsidP="002A228C">
      <w:pPr>
        <w:numPr>
          <w:ilvl w:val="0"/>
          <w:numId w:val="10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lastRenderedPageBreak/>
        <w:t xml:space="preserve">Juan Sebastián </w:t>
      </w:r>
      <w:proofErr w:type="spellStart"/>
      <w:r w:rsidRPr="002A228C">
        <w:rPr>
          <w:rFonts w:ascii="Times New Roman" w:eastAsia="Times New Roman" w:hAnsi="Times New Roman" w:cs="Times New Roman"/>
          <w:sz w:val="24"/>
          <w:szCs w:val="24"/>
          <w:lang w:eastAsia="es-AR"/>
        </w:rPr>
        <w:t>Masip</w:t>
      </w:r>
      <w:proofErr w:type="spellEnd"/>
      <w:r w:rsidRPr="002A228C">
        <w:rPr>
          <w:rFonts w:ascii="Times New Roman" w:eastAsia="Times New Roman" w:hAnsi="Times New Roman" w:cs="Times New Roman"/>
          <w:sz w:val="24"/>
          <w:szCs w:val="24"/>
          <w:lang w:eastAsia="es-AR"/>
        </w:rPr>
        <w:t xml:space="preserve">, </w:t>
      </w:r>
    </w:p>
    <w:p w14:paraId="5C990BE9" w14:textId="77777777" w:rsidR="002A228C" w:rsidRPr="002A228C" w:rsidRDefault="002A228C" w:rsidP="002A228C">
      <w:pPr>
        <w:numPr>
          <w:ilvl w:val="0"/>
          <w:numId w:val="10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Juan Francisco </w:t>
      </w:r>
      <w:proofErr w:type="spellStart"/>
      <w:r w:rsidRPr="002A228C">
        <w:rPr>
          <w:rFonts w:ascii="Times New Roman" w:eastAsia="Times New Roman" w:hAnsi="Times New Roman" w:cs="Times New Roman"/>
          <w:sz w:val="24"/>
          <w:szCs w:val="24"/>
          <w:lang w:eastAsia="es-AR"/>
        </w:rPr>
        <w:t>Masip</w:t>
      </w:r>
      <w:proofErr w:type="spellEnd"/>
      <w:r w:rsidRPr="002A228C">
        <w:rPr>
          <w:rFonts w:ascii="Times New Roman" w:eastAsia="Times New Roman" w:hAnsi="Times New Roman" w:cs="Times New Roman"/>
          <w:sz w:val="24"/>
          <w:szCs w:val="24"/>
          <w:lang w:eastAsia="es-AR"/>
        </w:rPr>
        <w:t>,</w:t>
      </w:r>
      <w:r w:rsidRPr="002A228C">
        <w:rPr>
          <w:rFonts w:ascii="Times New Roman" w:eastAsia="Times New Roman" w:hAnsi="Times New Roman" w:cs="Times New Roman"/>
          <w:sz w:val="24"/>
          <w:szCs w:val="24"/>
          <w:lang w:eastAsia="es-AR"/>
        </w:rPr>
        <w:br/>
        <w:t xml:space="preserve">solicitó: </w:t>
      </w:r>
    </w:p>
    <w:p w14:paraId="766AD53D" w14:textId="77777777" w:rsidR="002A228C" w:rsidRPr="002A228C" w:rsidRDefault="002A228C" w:rsidP="002A228C">
      <w:pPr>
        <w:numPr>
          <w:ilvl w:val="0"/>
          <w:numId w:val="10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declaración de falta de acción, </w:t>
      </w:r>
    </w:p>
    <w:p w14:paraId="7B837F11" w14:textId="77777777" w:rsidR="002A228C" w:rsidRPr="002A228C" w:rsidRDefault="002A228C" w:rsidP="002A228C">
      <w:pPr>
        <w:numPr>
          <w:ilvl w:val="0"/>
          <w:numId w:val="10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y el sobreseimiento definitivo,</w:t>
      </w:r>
      <w:r w:rsidRPr="002A228C">
        <w:rPr>
          <w:rFonts w:ascii="Times New Roman" w:eastAsia="Times New Roman" w:hAnsi="Times New Roman" w:cs="Times New Roman"/>
          <w:sz w:val="24"/>
          <w:szCs w:val="24"/>
          <w:lang w:eastAsia="es-AR"/>
        </w:rPr>
        <w:br/>
        <w:t xml:space="preserve">fundándose en la aplicación retroactiva de la Ley 27.799. </w:t>
      </w:r>
    </w:p>
    <w:p w14:paraId="7EAE9D64"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60B1E53D">
          <v:rect id="_x0000_i1049" style="width:0;height:1.5pt" o:hralign="center" o:hrstd="t" o:hr="t" fillcolor="#a0a0a0" stroked="f"/>
        </w:pict>
      </w:r>
    </w:p>
    <w:p w14:paraId="0BD90D07"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2. Argumentos principales de la defensa</w:t>
      </w:r>
    </w:p>
    <w:p w14:paraId="20D57739"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La defensa estructuró el planteo sobre cinco ejes centrales:</w:t>
      </w:r>
    </w:p>
    <w:p w14:paraId="384B8998"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a) Ley penal más benigna</w:t>
      </w:r>
    </w:p>
    <w:p w14:paraId="44EA556C"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Invocó:</w:t>
      </w:r>
    </w:p>
    <w:p w14:paraId="6CDBFBD4" w14:textId="77777777" w:rsidR="002A228C" w:rsidRPr="002A228C" w:rsidRDefault="002A228C" w:rsidP="002A228C">
      <w:pPr>
        <w:numPr>
          <w:ilvl w:val="0"/>
          <w:numId w:val="10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art. 2 CP, </w:t>
      </w:r>
    </w:p>
    <w:p w14:paraId="4E58EDEC" w14:textId="77777777" w:rsidR="002A228C" w:rsidRPr="002A228C" w:rsidRDefault="002A228C" w:rsidP="002A228C">
      <w:pPr>
        <w:numPr>
          <w:ilvl w:val="0"/>
          <w:numId w:val="10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y el art. 9 CADH,</w:t>
      </w:r>
      <w:r w:rsidRPr="002A228C">
        <w:rPr>
          <w:rFonts w:ascii="Times New Roman" w:eastAsia="Times New Roman" w:hAnsi="Times New Roman" w:cs="Times New Roman"/>
          <w:sz w:val="24"/>
          <w:szCs w:val="24"/>
          <w:lang w:eastAsia="es-AR"/>
        </w:rPr>
        <w:br/>
        <w:t xml:space="preserve">sosteniendo que la Ley 27.799: </w:t>
      </w:r>
    </w:p>
    <w:p w14:paraId="44AC64F4" w14:textId="77777777" w:rsidR="002A228C" w:rsidRPr="002A228C" w:rsidRDefault="002A228C" w:rsidP="002A228C">
      <w:pPr>
        <w:numPr>
          <w:ilvl w:val="0"/>
          <w:numId w:val="10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elevó significativamente los umbrales de punibilidad del régimen penal tributario, </w:t>
      </w:r>
    </w:p>
    <w:p w14:paraId="24A9C5E6" w14:textId="77777777" w:rsidR="002A228C" w:rsidRPr="002A228C" w:rsidRDefault="002A228C" w:rsidP="002A228C">
      <w:pPr>
        <w:numPr>
          <w:ilvl w:val="0"/>
          <w:numId w:val="10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que los montos investigados (períodos 2012-2016) quedaron por debajo de los nuevos mínimos legales. </w:t>
      </w:r>
    </w:p>
    <w:p w14:paraId="2019D98E"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Según la defensa:</w:t>
      </w:r>
    </w:p>
    <w:p w14:paraId="1ABBDDA0" w14:textId="77777777" w:rsidR="002A228C" w:rsidRPr="002A228C" w:rsidRDefault="002A228C" w:rsidP="002A228C">
      <w:pPr>
        <w:numPr>
          <w:ilvl w:val="0"/>
          <w:numId w:val="10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ello producía una atipicidad sobreviniente, </w:t>
      </w:r>
    </w:p>
    <w:p w14:paraId="34321014" w14:textId="77777777" w:rsidR="002A228C" w:rsidRPr="002A228C" w:rsidRDefault="002A228C" w:rsidP="002A228C">
      <w:pPr>
        <w:numPr>
          <w:ilvl w:val="0"/>
          <w:numId w:val="10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que imponía el sobreseimiento por falta de tipo penal. </w:t>
      </w:r>
    </w:p>
    <w:p w14:paraId="7F9F97A5"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b) Extinción de la acción penal por regularización</w:t>
      </w:r>
    </w:p>
    <w:p w14:paraId="2889809D"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Sostuvo que:</w:t>
      </w:r>
    </w:p>
    <w:p w14:paraId="3E17E1A0" w14:textId="77777777" w:rsidR="002A228C" w:rsidRPr="002A228C" w:rsidRDefault="002A228C" w:rsidP="002A228C">
      <w:pPr>
        <w:numPr>
          <w:ilvl w:val="0"/>
          <w:numId w:val="110"/>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las obligaciones tributarias habían sido canceladas mediante planes de pago en el marco de la Ley 27.743, </w:t>
      </w:r>
    </w:p>
    <w:p w14:paraId="353781C1" w14:textId="77777777" w:rsidR="002A228C" w:rsidRPr="002A228C" w:rsidRDefault="002A228C" w:rsidP="002A228C">
      <w:pPr>
        <w:numPr>
          <w:ilvl w:val="0"/>
          <w:numId w:val="110"/>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lo que equivalía —o incluso superaba— la causal de extinción prevista en el nuevo art. 16 del régimen penal tributario incorporado por la Ley 27.799. </w:t>
      </w:r>
    </w:p>
    <w:p w14:paraId="2D799FA8"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c) Prescripción</w:t>
      </w:r>
    </w:p>
    <w:p w14:paraId="2DEEC201"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Alegó que:</w:t>
      </w:r>
    </w:p>
    <w:p w14:paraId="3B956F43" w14:textId="77777777" w:rsidR="002A228C" w:rsidRPr="002A228C" w:rsidRDefault="002A228C" w:rsidP="002A228C">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Ley 27.799 modificó el art. 56 de la Ley 11.683, </w:t>
      </w:r>
    </w:p>
    <w:p w14:paraId="6EDA4171" w14:textId="77777777" w:rsidR="002A228C" w:rsidRPr="002A228C" w:rsidRDefault="002A228C" w:rsidP="002A228C">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reduciendo el plazo de prescripción a tres años para contribuyentes regularizados, </w:t>
      </w:r>
    </w:p>
    <w:p w14:paraId="460D7FAA" w14:textId="77777777" w:rsidR="002A228C" w:rsidRPr="002A228C" w:rsidRDefault="002A228C" w:rsidP="002A228C">
      <w:pPr>
        <w:numPr>
          <w:ilvl w:val="0"/>
          <w:numId w:val="11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plazo que —según la defensa— ya se encontraba cumplido. </w:t>
      </w:r>
    </w:p>
    <w:p w14:paraId="0EE78117"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d) Causales de no formulación de denuncia</w:t>
      </w:r>
    </w:p>
    <w:p w14:paraId="62500B25"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lastRenderedPageBreak/>
        <w:t>La defensa sostuvo que:</w:t>
      </w:r>
    </w:p>
    <w:p w14:paraId="33C888B2" w14:textId="77777777" w:rsidR="002A228C" w:rsidRPr="002A228C" w:rsidRDefault="002A228C" w:rsidP="002A228C">
      <w:pPr>
        <w:numPr>
          <w:ilvl w:val="0"/>
          <w:numId w:val="11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art. 14 de la Ley 27.799 incorporó causales de no formulación de denuncia penal, </w:t>
      </w:r>
    </w:p>
    <w:p w14:paraId="2F30F0FA" w14:textId="77777777" w:rsidR="002A228C" w:rsidRPr="002A228C" w:rsidRDefault="002A228C" w:rsidP="002A228C">
      <w:pPr>
        <w:numPr>
          <w:ilvl w:val="0"/>
          <w:numId w:val="11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reforzando la improcedencia de continuar el proceso. </w:t>
      </w:r>
    </w:p>
    <w:p w14:paraId="03997845"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e) Efecto sobre el lavado de activos</w:t>
      </w:r>
    </w:p>
    <w:p w14:paraId="31A7B38D"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Este fue el núcleo central del planteo:</w:t>
      </w:r>
    </w:p>
    <w:p w14:paraId="09A002D1" w14:textId="77777777" w:rsidR="002A228C" w:rsidRPr="002A228C" w:rsidRDefault="002A228C" w:rsidP="002A228C">
      <w:pPr>
        <w:numPr>
          <w:ilvl w:val="0"/>
          <w:numId w:val="113"/>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defensa sostuvo que la extinción de la acción penal tributaria producía la atipicidad del lavado de activos, </w:t>
      </w:r>
    </w:p>
    <w:p w14:paraId="5A98B031" w14:textId="77777777" w:rsidR="002A228C" w:rsidRPr="002A228C" w:rsidRDefault="002A228C" w:rsidP="002A228C">
      <w:pPr>
        <w:numPr>
          <w:ilvl w:val="0"/>
          <w:numId w:val="113"/>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porque desaparecería el “delito precedente”. </w:t>
      </w:r>
    </w:p>
    <w:p w14:paraId="2EAC1E58"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Citaron:</w:t>
      </w:r>
    </w:p>
    <w:p w14:paraId="1C14E7F1" w14:textId="77777777" w:rsidR="002A228C" w:rsidRPr="002A228C" w:rsidRDefault="002A228C" w:rsidP="002A228C">
      <w:pPr>
        <w:numPr>
          <w:ilvl w:val="0"/>
          <w:numId w:val="114"/>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jurisprudencia de la Cámara Federal de Casación Penal (“</w:t>
      </w:r>
      <w:proofErr w:type="spellStart"/>
      <w:r w:rsidRPr="002A228C">
        <w:rPr>
          <w:rFonts w:ascii="Times New Roman" w:eastAsia="Times New Roman" w:hAnsi="Times New Roman" w:cs="Times New Roman"/>
          <w:sz w:val="24"/>
          <w:szCs w:val="24"/>
          <w:lang w:eastAsia="es-AR"/>
        </w:rPr>
        <w:t>Bellone</w:t>
      </w:r>
      <w:proofErr w:type="spellEnd"/>
      <w:r w:rsidRPr="002A228C">
        <w:rPr>
          <w:rFonts w:ascii="Times New Roman" w:eastAsia="Times New Roman" w:hAnsi="Times New Roman" w:cs="Times New Roman"/>
          <w:sz w:val="24"/>
          <w:szCs w:val="24"/>
          <w:lang w:eastAsia="es-AR"/>
        </w:rPr>
        <w:t xml:space="preserve">”), </w:t>
      </w:r>
    </w:p>
    <w:p w14:paraId="6912D773" w14:textId="77777777" w:rsidR="002A228C" w:rsidRPr="002A228C" w:rsidRDefault="002A228C" w:rsidP="002A228C">
      <w:pPr>
        <w:numPr>
          <w:ilvl w:val="0"/>
          <w:numId w:val="114"/>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y doctrina mayoritaria,</w:t>
      </w:r>
      <w:r w:rsidRPr="002A228C">
        <w:rPr>
          <w:rFonts w:ascii="Times New Roman" w:eastAsia="Times New Roman" w:hAnsi="Times New Roman" w:cs="Times New Roman"/>
          <w:sz w:val="24"/>
          <w:szCs w:val="24"/>
          <w:lang w:eastAsia="es-AR"/>
        </w:rPr>
        <w:br/>
        <w:t xml:space="preserve">según la cual: </w:t>
      </w:r>
    </w:p>
    <w:p w14:paraId="12E03AE2" w14:textId="77777777" w:rsidR="002A228C" w:rsidRPr="002A228C" w:rsidRDefault="002A228C" w:rsidP="002A228C">
      <w:pPr>
        <w:numPr>
          <w:ilvl w:val="0"/>
          <w:numId w:val="114"/>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sin delito base no podría sostenerse el lavado de activos. </w:t>
      </w:r>
    </w:p>
    <w:p w14:paraId="3F3FBD5A"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23B43945">
          <v:rect id="_x0000_i1050" style="width:0;height:1.5pt" o:hralign="center" o:hrstd="t" o:hr="t" fillcolor="#a0a0a0" stroked="f"/>
        </w:pict>
      </w:r>
    </w:p>
    <w:p w14:paraId="0B5009F4" w14:textId="77777777" w:rsidR="002A228C" w:rsidRPr="002A228C" w:rsidRDefault="002A228C" w:rsidP="002A228C">
      <w:pPr>
        <w:spacing w:before="100" w:beforeAutospacing="1" w:after="100" w:afterAutospacing="1" w:line="240" w:lineRule="auto"/>
        <w:outlineLvl w:val="0"/>
        <w:rPr>
          <w:rFonts w:ascii="Times New Roman" w:eastAsia="Times New Roman" w:hAnsi="Times New Roman" w:cs="Times New Roman"/>
          <w:b/>
          <w:bCs/>
          <w:kern w:val="36"/>
          <w:sz w:val="48"/>
          <w:szCs w:val="48"/>
          <w:lang w:eastAsia="es-AR"/>
        </w:rPr>
      </w:pPr>
      <w:r w:rsidRPr="002A228C">
        <w:rPr>
          <w:rFonts w:ascii="Times New Roman" w:eastAsia="Times New Roman" w:hAnsi="Times New Roman" w:cs="Times New Roman"/>
          <w:b/>
          <w:bCs/>
          <w:kern w:val="36"/>
          <w:sz w:val="48"/>
          <w:szCs w:val="48"/>
          <w:lang w:eastAsia="es-AR"/>
        </w:rPr>
        <w:t xml:space="preserve">II. </w:t>
      </w:r>
      <w:proofErr w:type="spellStart"/>
      <w:r w:rsidRPr="002A228C">
        <w:rPr>
          <w:rFonts w:ascii="Times New Roman" w:eastAsia="Times New Roman" w:hAnsi="Times New Roman" w:cs="Times New Roman"/>
          <w:b/>
          <w:bCs/>
          <w:kern w:val="36"/>
          <w:sz w:val="48"/>
          <w:szCs w:val="48"/>
          <w:lang w:eastAsia="es-AR"/>
        </w:rPr>
        <w:t>Merituación</w:t>
      </w:r>
      <w:proofErr w:type="spellEnd"/>
      <w:r w:rsidRPr="002A228C">
        <w:rPr>
          <w:rFonts w:ascii="Times New Roman" w:eastAsia="Times New Roman" w:hAnsi="Times New Roman" w:cs="Times New Roman"/>
          <w:b/>
          <w:bCs/>
          <w:kern w:val="36"/>
          <w:sz w:val="48"/>
          <w:szCs w:val="48"/>
          <w:lang w:eastAsia="es-AR"/>
        </w:rPr>
        <w:t xml:space="preserve"> de las posturas de las partes</w:t>
      </w:r>
    </w:p>
    <w:p w14:paraId="189A8A78"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1. Postura del Ministerio Público Fiscal</w:t>
      </w:r>
    </w:p>
    <w:p w14:paraId="7BBED33D"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Auxiliar Fiscal María Paula Benavidez solicitó el rechazo del planteo. </w:t>
      </w:r>
    </w:p>
    <w:p w14:paraId="62BACD75"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Respecto de los delitos tributarios</w:t>
      </w:r>
    </w:p>
    <w:p w14:paraId="3368FCE9"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Indicó que:</w:t>
      </w:r>
    </w:p>
    <w:p w14:paraId="5DBB56B3" w14:textId="77777777" w:rsidR="002A228C" w:rsidRPr="002A228C" w:rsidRDefault="002A228C" w:rsidP="002A228C">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cuestión ya había sido resuelta por el Juzgado Federal </w:t>
      </w:r>
      <w:proofErr w:type="spellStart"/>
      <w:r w:rsidRPr="002A228C">
        <w:rPr>
          <w:rFonts w:ascii="Times New Roman" w:eastAsia="Times New Roman" w:hAnsi="Times New Roman" w:cs="Times New Roman"/>
          <w:sz w:val="24"/>
          <w:szCs w:val="24"/>
          <w:lang w:eastAsia="es-AR"/>
        </w:rPr>
        <w:t>N°</w:t>
      </w:r>
      <w:proofErr w:type="spellEnd"/>
      <w:r w:rsidRPr="002A228C">
        <w:rPr>
          <w:rFonts w:ascii="Times New Roman" w:eastAsia="Times New Roman" w:hAnsi="Times New Roman" w:cs="Times New Roman"/>
          <w:sz w:val="24"/>
          <w:szCs w:val="24"/>
          <w:lang w:eastAsia="es-AR"/>
        </w:rPr>
        <w:t xml:space="preserve"> 2, </w:t>
      </w:r>
    </w:p>
    <w:p w14:paraId="76FA0BFB" w14:textId="77777777" w:rsidR="002A228C" w:rsidRPr="002A228C" w:rsidRDefault="002A228C" w:rsidP="002A228C">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mediante resolución del 25/07/2025, </w:t>
      </w:r>
    </w:p>
    <w:p w14:paraId="71AA9F28" w14:textId="77777777" w:rsidR="002A228C" w:rsidRPr="002A228C" w:rsidRDefault="002A228C" w:rsidP="002A228C">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que declaró extinguida la acción penal tributaria, </w:t>
      </w:r>
    </w:p>
    <w:p w14:paraId="39A8AEDA" w14:textId="77777777" w:rsidR="002A228C" w:rsidRPr="002A228C" w:rsidRDefault="002A228C" w:rsidP="002A228C">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dispuso el sobreseimiento parcial de los imputados, </w:t>
      </w:r>
    </w:p>
    <w:p w14:paraId="1748BBA3" w14:textId="77777777" w:rsidR="002A228C" w:rsidRPr="002A228C" w:rsidRDefault="002A228C" w:rsidP="002A228C">
      <w:pPr>
        <w:numPr>
          <w:ilvl w:val="0"/>
          <w:numId w:val="11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resolución firme. </w:t>
      </w:r>
    </w:p>
    <w:p w14:paraId="5C5318E8"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Respecto del lavado de activos</w:t>
      </w:r>
    </w:p>
    <w:p w14:paraId="7AEF5B10"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MPF sostuvo que:</w:t>
      </w:r>
    </w:p>
    <w:p w14:paraId="4B856C66" w14:textId="77777777" w:rsidR="002A228C" w:rsidRPr="002A228C" w:rsidRDefault="002A228C" w:rsidP="002A228C">
      <w:pPr>
        <w:numPr>
          <w:ilvl w:val="0"/>
          <w:numId w:val="11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desde la reforma introducida por la Ley 26.683, </w:t>
      </w:r>
    </w:p>
    <w:p w14:paraId="589C5AFF" w14:textId="77777777" w:rsidR="002A228C" w:rsidRPr="002A228C" w:rsidRDefault="002A228C" w:rsidP="002A228C">
      <w:pPr>
        <w:numPr>
          <w:ilvl w:val="0"/>
          <w:numId w:val="11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art. 303 CP configura un delito autónomo, </w:t>
      </w:r>
    </w:p>
    <w:p w14:paraId="015BCF98" w14:textId="77777777" w:rsidR="002A228C" w:rsidRPr="002A228C" w:rsidRDefault="002A228C" w:rsidP="002A228C">
      <w:pPr>
        <w:numPr>
          <w:ilvl w:val="0"/>
          <w:numId w:val="11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que no requiere: </w:t>
      </w:r>
    </w:p>
    <w:p w14:paraId="3A379D5C" w14:textId="77777777" w:rsidR="002A228C" w:rsidRPr="002A228C" w:rsidRDefault="002A228C" w:rsidP="002A228C">
      <w:pPr>
        <w:numPr>
          <w:ilvl w:val="1"/>
          <w:numId w:val="11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lastRenderedPageBreak/>
        <w:t xml:space="preserve">condena previa, </w:t>
      </w:r>
    </w:p>
    <w:p w14:paraId="029CB389" w14:textId="77777777" w:rsidR="002A228C" w:rsidRPr="002A228C" w:rsidRDefault="002A228C" w:rsidP="002A228C">
      <w:pPr>
        <w:numPr>
          <w:ilvl w:val="1"/>
          <w:numId w:val="11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ni delito precedente probado, </w:t>
      </w:r>
    </w:p>
    <w:p w14:paraId="50A036EE" w14:textId="77777777" w:rsidR="002A228C" w:rsidRPr="002A228C" w:rsidRDefault="002A228C" w:rsidP="002A228C">
      <w:pPr>
        <w:numPr>
          <w:ilvl w:val="1"/>
          <w:numId w:val="11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sino únicamente indicios sobre el origen ilícito de los bienes. </w:t>
      </w:r>
    </w:p>
    <w:p w14:paraId="2D683017"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Invocó especialmente:</w:t>
      </w:r>
    </w:p>
    <w:p w14:paraId="1109B4DB" w14:textId="77777777" w:rsidR="002A228C" w:rsidRPr="002A228C" w:rsidRDefault="002A228C" w:rsidP="002A228C">
      <w:pPr>
        <w:numPr>
          <w:ilvl w:val="0"/>
          <w:numId w:val="11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precedente “</w:t>
      </w:r>
      <w:proofErr w:type="spellStart"/>
      <w:r w:rsidRPr="002A228C">
        <w:rPr>
          <w:rFonts w:ascii="Times New Roman" w:eastAsia="Times New Roman" w:hAnsi="Times New Roman" w:cs="Times New Roman"/>
          <w:sz w:val="24"/>
          <w:szCs w:val="24"/>
          <w:lang w:eastAsia="es-AR"/>
        </w:rPr>
        <w:t>Olivetto</w:t>
      </w:r>
      <w:proofErr w:type="spellEnd"/>
      <w:r w:rsidRPr="002A228C">
        <w:rPr>
          <w:rFonts w:ascii="Times New Roman" w:eastAsia="Times New Roman" w:hAnsi="Times New Roman" w:cs="Times New Roman"/>
          <w:sz w:val="24"/>
          <w:szCs w:val="24"/>
          <w:lang w:eastAsia="es-AR"/>
        </w:rPr>
        <w:t xml:space="preserve">” de la Corte Suprema de Justicia de la Nación. </w:t>
      </w:r>
    </w:p>
    <w:p w14:paraId="3C6BE883"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5405C9F5">
          <v:rect id="_x0000_i1051" style="width:0;height:1.5pt" o:hralign="center" o:hrstd="t" o:hr="t" fillcolor="#a0a0a0" stroked="f"/>
        </w:pict>
      </w:r>
    </w:p>
    <w:p w14:paraId="12C3B0DA"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2. Postura de la querella (AFIP/ARCA)</w:t>
      </w:r>
    </w:p>
    <w:p w14:paraId="786444B4"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querella también solicitó el rechazo del planteo. </w:t>
      </w:r>
    </w:p>
    <w:p w14:paraId="39AC9F5B"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Argumentos centrales</w:t>
      </w:r>
    </w:p>
    <w:p w14:paraId="2E6A4A8A"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Sostuvo que:</w:t>
      </w:r>
    </w:p>
    <w:p w14:paraId="3EBA59DD" w14:textId="77777777" w:rsidR="002A228C" w:rsidRPr="002A228C" w:rsidRDefault="002A228C" w:rsidP="002A228C">
      <w:pPr>
        <w:numPr>
          <w:ilvl w:val="0"/>
          <w:numId w:val="11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tipo penal del art. 303 CP no exige un delito precedente plenamente acreditado, </w:t>
      </w:r>
    </w:p>
    <w:p w14:paraId="0E1642F0" w14:textId="77777777" w:rsidR="002A228C" w:rsidRPr="002A228C" w:rsidRDefault="002A228C" w:rsidP="002A228C">
      <w:pPr>
        <w:numPr>
          <w:ilvl w:val="0"/>
          <w:numId w:val="11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sino únicamente la demostración de una actividad ilícita previa como origen de los bienes. </w:t>
      </w:r>
    </w:p>
    <w:p w14:paraId="0712A7E4"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proofErr w:type="gramStart"/>
      <w:r w:rsidRPr="002A228C">
        <w:rPr>
          <w:rFonts w:ascii="Times New Roman" w:eastAsia="Times New Roman" w:hAnsi="Times New Roman" w:cs="Times New Roman"/>
          <w:sz w:val="24"/>
          <w:szCs w:val="24"/>
          <w:lang w:eastAsia="es-AR"/>
        </w:rPr>
        <w:t>Además</w:t>
      </w:r>
      <w:proofErr w:type="gramEnd"/>
      <w:r w:rsidRPr="002A228C">
        <w:rPr>
          <w:rFonts w:ascii="Times New Roman" w:eastAsia="Times New Roman" w:hAnsi="Times New Roman" w:cs="Times New Roman"/>
          <w:sz w:val="24"/>
          <w:szCs w:val="24"/>
          <w:lang w:eastAsia="es-AR"/>
        </w:rPr>
        <w:t xml:space="preserve"> desarrolló un argumento especialmente relevante:</w:t>
      </w:r>
    </w:p>
    <w:p w14:paraId="71BF79DE" w14:textId="77777777" w:rsidR="002A228C" w:rsidRPr="002A228C" w:rsidRDefault="002A228C" w:rsidP="002A228C">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extinción de la acción penal tributaria eliminó la posibilidad de sancionar la evasión, </w:t>
      </w:r>
    </w:p>
    <w:p w14:paraId="59B321A6" w14:textId="77777777" w:rsidR="002A228C" w:rsidRPr="002A228C" w:rsidRDefault="002A228C" w:rsidP="002A228C">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pero no modificó la ilicitud material de los hechos evasivos, </w:t>
      </w:r>
    </w:p>
    <w:p w14:paraId="481EBBA4" w14:textId="77777777" w:rsidR="002A228C" w:rsidRPr="002A228C" w:rsidRDefault="002A228C" w:rsidP="002A228C">
      <w:pPr>
        <w:numPr>
          <w:ilvl w:val="0"/>
          <w:numId w:val="11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los cuales continúan constituyendo un ilícito penal relevante para el lavado de activos. </w:t>
      </w:r>
    </w:p>
    <w:p w14:paraId="5E11505A"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7D219730">
          <v:rect id="_x0000_i1052" style="width:0;height:1.5pt" o:hralign="center" o:hrstd="t" o:hr="t" fillcolor="#a0a0a0" stroked="f"/>
        </w:pict>
      </w:r>
    </w:p>
    <w:p w14:paraId="59447B5D"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3. Valoración del Tribunal sobre las posturas</w:t>
      </w:r>
    </w:p>
    <w:p w14:paraId="333D837D"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Tribunal:</w:t>
      </w:r>
    </w:p>
    <w:p w14:paraId="59EA310B" w14:textId="77777777" w:rsidR="002A228C" w:rsidRPr="002A228C" w:rsidRDefault="002A228C" w:rsidP="002A228C">
      <w:pPr>
        <w:numPr>
          <w:ilvl w:val="0"/>
          <w:numId w:val="120"/>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receptó sustancialmente la posición del MPF y de la querella, </w:t>
      </w:r>
    </w:p>
    <w:p w14:paraId="08685CA6" w14:textId="77777777" w:rsidR="002A228C" w:rsidRPr="002A228C" w:rsidRDefault="002A228C" w:rsidP="002A228C">
      <w:pPr>
        <w:numPr>
          <w:ilvl w:val="0"/>
          <w:numId w:val="120"/>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rechazó la tesis de la defensa. </w:t>
      </w:r>
    </w:p>
    <w:p w14:paraId="26B70421"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0CB20ED1">
          <v:rect id="_x0000_i1053" style="width:0;height:1.5pt" o:hralign="center" o:hrstd="t" o:hr="t" fillcolor="#a0a0a0" stroked="f"/>
        </w:pict>
      </w:r>
    </w:p>
    <w:p w14:paraId="562625D3" w14:textId="77777777" w:rsidR="002A228C" w:rsidRPr="002A228C" w:rsidRDefault="002A228C" w:rsidP="002A228C">
      <w:pPr>
        <w:spacing w:before="100" w:beforeAutospacing="1" w:after="100" w:afterAutospacing="1" w:line="240" w:lineRule="auto"/>
        <w:outlineLvl w:val="0"/>
        <w:rPr>
          <w:rFonts w:ascii="Times New Roman" w:eastAsia="Times New Roman" w:hAnsi="Times New Roman" w:cs="Times New Roman"/>
          <w:b/>
          <w:bCs/>
          <w:kern w:val="36"/>
          <w:sz w:val="48"/>
          <w:szCs w:val="48"/>
          <w:lang w:eastAsia="es-AR"/>
        </w:rPr>
      </w:pPr>
      <w:r w:rsidRPr="002A228C">
        <w:rPr>
          <w:rFonts w:ascii="Times New Roman" w:eastAsia="Times New Roman" w:hAnsi="Times New Roman" w:cs="Times New Roman"/>
          <w:b/>
          <w:bCs/>
          <w:kern w:val="36"/>
          <w:sz w:val="48"/>
          <w:szCs w:val="48"/>
          <w:lang w:eastAsia="es-AR"/>
        </w:rPr>
        <w:t>III. Posición adoptada por el Tribunal y fundamentos</w:t>
      </w:r>
    </w:p>
    <w:p w14:paraId="10860691"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fallo fue dictado por un tribunal colegiado integrado por:</w:t>
      </w:r>
    </w:p>
    <w:p w14:paraId="00B6A645" w14:textId="77777777" w:rsidR="002A228C" w:rsidRPr="002A228C" w:rsidRDefault="002A228C" w:rsidP="002A228C">
      <w:pPr>
        <w:numPr>
          <w:ilvl w:val="0"/>
          <w:numId w:val="12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lastRenderedPageBreak/>
        <w:t xml:space="preserve">Ernesto Pedro Sebastián, </w:t>
      </w:r>
    </w:p>
    <w:p w14:paraId="7A156461" w14:textId="77777777" w:rsidR="002A228C" w:rsidRPr="002A228C" w:rsidRDefault="002A228C" w:rsidP="002A228C">
      <w:pPr>
        <w:numPr>
          <w:ilvl w:val="0"/>
          <w:numId w:val="12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Alejandro Adrián Silva, </w:t>
      </w:r>
    </w:p>
    <w:p w14:paraId="21B8C9BD" w14:textId="77777777" w:rsidR="002A228C" w:rsidRPr="002A228C" w:rsidRDefault="002A228C" w:rsidP="002A228C">
      <w:pPr>
        <w:numPr>
          <w:ilvl w:val="0"/>
          <w:numId w:val="12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Alejandro Cabral. </w:t>
      </w:r>
    </w:p>
    <w:p w14:paraId="49201746"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La resolución aparece redactada en forma conjunta y unánime.</w:t>
      </w:r>
    </w:p>
    <w:p w14:paraId="6F29BA6F"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25EF1D80">
          <v:rect id="_x0000_i1054" style="width:0;height:1.5pt" o:hralign="center" o:hrstd="t" o:hr="t" fillcolor="#a0a0a0" stroked="f"/>
        </w:pict>
      </w:r>
    </w:p>
    <w:p w14:paraId="2EE224A5"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1. Respecto de los delitos tributarios</w:t>
      </w:r>
    </w:p>
    <w:p w14:paraId="34A48C35"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Tribunal sostuvo que:</w:t>
      </w:r>
    </w:p>
    <w:p w14:paraId="27A3A4EC" w14:textId="77777777" w:rsidR="002A228C" w:rsidRPr="002A228C" w:rsidRDefault="002A228C" w:rsidP="002A228C">
      <w:pPr>
        <w:numPr>
          <w:ilvl w:val="0"/>
          <w:numId w:val="12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los planteos vinculados con: </w:t>
      </w:r>
    </w:p>
    <w:p w14:paraId="4BFAB924" w14:textId="77777777" w:rsidR="002A228C" w:rsidRPr="002A228C" w:rsidRDefault="002A228C" w:rsidP="002A228C">
      <w:pPr>
        <w:numPr>
          <w:ilvl w:val="1"/>
          <w:numId w:val="12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atipicidad sobreviniente, </w:t>
      </w:r>
    </w:p>
    <w:p w14:paraId="6C9D77E3" w14:textId="77777777" w:rsidR="002A228C" w:rsidRPr="002A228C" w:rsidRDefault="002A228C" w:rsidP="002A228C">
      <w:pPr>
        <w:numPr>
          <w:ilvl w:val="1"/>
          <w:numId w:val="12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extinción por pago, </w:t>
      </w:r>
    </w:p>
    <w:p w14:paraId="700D2930" w14:textId="77777777" w:rsidR="002A228C" w:rsidRPr="002A228C" w:rsidRDefault="002A228C" w:rsidP="002A228C">
      <w:pPr>
        <w:numPr>
          <w:ilvl w:val="1"/>
          <w:numId w:val="12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prescripción, </w:t>
      </w:r>
    </w:p>
    <w:p w14:paraId="43F1FBAA" w14:textId="77777777" w:rsidR="002A228C" w:rsidRPr="002A228C" w:rsidRDefault="002A228C" w:rsidP="002A228C">
      <w:pPr>
        <w:numPr>
          <w:ilvl w:val="1"/>
          <w:numId w:val="12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y causales de no denuncia,</w:t>
      </w:r>
      <w:r w:rsidRPr="002A228C">
        <w:rPr>
          <w:rFonts w:ascii="Times New Roman" w:eastAsia="Times New Roman" w:hAnsi="Times New Roman" w:cs="Times New Roman"/>
          <w:sz w:val="24"/>
          <w:szCs w:val="24"/>
          <w:lang w:eastAsia="es-AR"/>
        </w:rPr>
        <w:br/>
        <w:t xml:space="preserve">carecían de objeto procesal vigente. </w:t>
      </w:r>
    </w:p>
    <w:p w14:paraId="355091E2"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La razón:</w:t>
      </w:r>
    </w:p>
    <w:p w14:paraId="6EF95EDE" w14:textId="77777777" w:rsidR="002A228C" w:rsidRPr="002A228C" w:rsidRDefault="002A228C" w:rsidP="002A228C">
      <w:pPr>
        <w:numPr>
          <w:ilvl w:val="0"/>
          <w:numId w:val="123"/>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ya existía una resolución firme de 25/07/2025, </w:t>
      </w:r>
    </w:p>
    <w:p w14:paraId="6FB96DB2" w14:textId="77777777" w:rsidR="002A228C" w:rsidRPr="002A228C" w:rsidRDefault="002A228C" w:rsidP="002A228C">
      <w:pPr>
        <w:numPr>
          <w:ilvl w:val="0"/>
          <w:numId w:val="123"/>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que había extinguido la acción penal tributaria, </w:t>
      </w:r>
    </w:p>
    <w:p w14:paraId="37B23A07" w14:textId="77777777" w:rsidR="002A228C" w:rsidRPr="002A228C" w:rsidRDefault="002A228C" w:rsidP="002A228C">
      <w:pPr>
        <w:numPr>
          <w:ilvl w:val="0"/>
          <w:numId w:val="123"/>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sobreseído parcialmente a los imputados. </w:t>
      </w:r>
    </w:p>
    <w:p w14:paraId="4B68FBD4"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Por ello:</w:t>
      </w:r>
    </w:p>
    <w:p w14:paraId="1591D354" w14:textId="77777777" w:rsidR="002A228C" w:rsidRPr="002A228C" w:rsidRDefault="002A228C" w:rsidP="002A228C">
      <w:pPr>
        <w:numPr>
          <w:ilvl w:val="0"/>
          <w:numId w:val="124"/>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Tribunal declaró abstractos esos planteos. </w:t>
      </w:r>
    </w:p>
    <w:p w14:paraId="1664F2CB"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614B8C78">
          <v:rect id="_x0000_i1055" style="width:0;height:1.5pt" o:hralign="center" o:hrstd="t" o:hr="t" fillcolor="#a0a0a0" stroked="f"/>
        </w:pict>
      </w:r>
    </w:p>
    <w:p w14:paraId="39C30ED8" w14:textId="77777777" w:rsidR="002A228C" w:rsidRPr="002A228C" w:rsidRDefault="002A228C" w:rsidP="002A228C">
      <w:pPr>
        <w:spacing w:before="100" w:beforeAutospacing="1" w:after="100" w:afterAutospacing="1" w:line="240" w:lineRule="auto"/>
        <w:outlineLvl w:val="1"/>
        <w:rPr>
          <w:rFonts w:ascii="Times New Roman" w:eastAsia="Times New Roman" w:hAnsi="Times New Roman" w:cs="Times New Roman"/>
          <w:b/>
          <w:bCs/>
          <w:sz w:val="36"/>
          <w:szCs w:val="36"/>
          <w:lang w:eastAsia="es-AR"/>
        </w:rPr>
      </w:pPr>
      <w:r w:rsidRPr="002A228C">
        <w:rPr>
          <w:rFonts w:ascii="Times New Roman" w:eastAsia="Times New Roman" w:hAnsi="Times New Roman" w:cs="Times New Roman"/>
          <w:b/>
          <w:bCs/>
          <w:sz w:val="36"/>
          <w:szCs w:val="36"/>
          <w:lang w:eastAsia="es-AR"/>
        </w:rPr>
        <w:t>2. Respecto del lavado de activos (art. 303 CP)</w:t>
      </w:r>
    </w:p>
    <w:p w14:paraId="0B1D37AF"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Este fue el núcleo principal del pronunciamiento.</w:t>
      </w:r>
    </w:p>
    <w:p w14:paraId="7AEDE56D"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a) Improcedencia procesal del planteo en esta etapa</w:t>
      </w:r>
    </w:p>
    <w:p w14:paraId="138770ED"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Tribunal sostuvo que:</w:t>
      </w:r>
    </w:p>
    <w:p w14:paraId="4E03DDFB" w14:textId="77777777" w:rsidR="002A228C" w:rsidRPr="002A228C" w:rsidRDefault="002A228C" w:rsidP="002A228C">
      <w:pPr>
        <w:numPr>
          <w:ilvl w:val="0"/>
          <w:numId w:val="12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causa recién había sido elevada a juicio oral, </w:t>
      </w:r>
    </w:p>
    <w:p w14:paraId="0567D4A2" w14:textId="77777777" w:rsidR="002A228C" w:rsidRPr="002A228C" w:rsidRDefault="002A228C" w:rsidP="002A228C">
      <w:pPr>
        <w:numPr>
          <w:ilvl w:val="0"/>
          <w:numId w:val="12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que la cuestión sobre: </w:t>
      </w:r>
    </w:p>
    <w:p w14:paraId="7B54F449" w14:textId="77777777" w:rsidR="002A228C" w:rsidRPr="002A228C" w:rsidRDefault="002A228C" w:rsidP="002A228C">
      <w:pPr>
        <w:numPr>
          <w:ilvl w:val="1"/>
          <w:numId w:val="12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existencia de un ilícito penal previo, </w:t>
      </w:r>
    </w:p>
    <w:p w14:paraId="052C7F85" w14:textId="77777777" w:rsidR="002A228C" w:rsidRPr="002A228C" w:rsidRDefault="002A228C" w:rsidP="002A228C">
      <w:pPr>
        <w:numPr>
          <w:ilvl w:val="1"/>
          <w:numId w:val="125"/>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y la tipicidad del lavado,</w:t>
      </w:r>
      <w:r w:rsidRPr="002A228C">
        <w:rPr>
          <w:rFonts w:ascii="Times New Roman" w:eastAsia="Times New Roman" w:hAnsi="Times New Roman" w:cs="Times New Roman"/>
          <w:sz w:val="24"/>
          <w:szCs w:val="24"/>
          <w:lang w:eastAsia="es-AR"/>
        </w:rPr>
        <w:br/>
        <w:t xml:space="preserve">debía debatirse en juicio oral mediante producción de prueba. </w:t>
      </w:r>
    </w:p>
    <w:p w14:paraId="1724D37B"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Afirmó que:</w:t>
      </w:r>
    </w:p>
    <w:p w14:paraId="7AD1D811" w14:textId="77777777" w:rsidR="002A228C" w:rsidRPr="002A228C" w:rsidRDefault="002A228C" w:rsidP="002A228C">
      <w:pPr>
        <w:numPr>
          <w:ilvl w:val="0"/>
          <w:numId w:val="12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resolver anticipadamente esa cuestión en sede incidental: </w:t>
      </w:r>
    </w:p>
    <w:p w14:paraId="5F5B01D4" w14:textId="77777777" w:rsidR="002A228C" w:rsidRPr="002A228C" w:rsidRDefault="002A228C" w:rsidP="002A228C">
      <w:pPr>
        <w:numPr>
          <w:ilvl w:val="1"/>
          <w:numId w:val="12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implicaría avanzar sobre materia propia del debate oral, </w:t>
      </w:r>
    </w:p>
    <w:p w14:paraId="41621362" w14:textId="77777777" w:rsidR="002A228C" w:rsidRPr="002A228C" w:rsidRDefault="002A228C" w:rsidP="002A228C">
      <w:pPr>
        <w:numPr>
          <w:ilvl w:val="1"/>
          <w:numId w:val="126"/>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lastRenderedPageBreak/>
        <w:t xml:space="preserve">afectando el contradictorio y la bilateralidad. </w:t>
      </w:r>
    </w:p>
    <w:p w14:paraId="6A8E699F"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2A58B0AF">
          <v:rect id="_x0000_i1056" style="width:0;height:1.5pt" o:hralign="center" o:hrstd="t" o:hr="t" fillcolor="#a0a0a0" stroked="f"/>
        </w:pict>
      </w:r>
    </w:p>
    <w:p w14:paraId="7476DC7D"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b) Naturaleza autónoma del lavado de activos</w:t>
      </w:r>
    </w:p>
    <w:p w14:paraId="0EF59E8D"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Tribunal desarrolló luego un análisis dogmático del art. 303 CP.</w:t>
      </w:r>
    </w:p>
    <w:p w14:paraId="7FD03380"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Sostuvo que:</w:t>
      </w:r>
    </w:p>
    <w:p w14:paraId="7154C31D" w14:textId="77777777" w:rsidR="002A228C" w:rsidRPr="002A228C" w:rsidRDefault="002A228C" w:rsidP="002A228C">
      <w:pPr>
        <w:numPr>
          <w:ilvl w:val="0"/>
          <w:numId w:val="12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desde la Ley 26.683, </w:t>
      </w:r>
    </w:p>
    <w:p w14:paraId="5BCE1510" w14:textId="77777777" w:rsidR="002A228C" w:rsidRPr="002A228C" w:rsidRDefault="002A228C" w:rsidP="002A228C">
      <w:pPr>
        <w:numPr>
          <w:ilvl w:val="0"/>
          <w:numId w:val="12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lavado dejó de ser un encubrimiento agravado accesorio, </w:t>
      </w:r>
    </w:p>
    <w:p w14:paraId="0C0AE573" w14:textId="77777777" w:rsidR="002A228C" w:rsidRPr="002A228C" w:rsidRDefault="002A228C" w:rsidP="002A228C">
      <w:pPr>
        <w:numPr>
          <w:ilvl w:val="0"/>
          <w:numId w:val="127"/>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pasó a ser un delito autónomo e independiente. </w:t>
      </w:r>
    </w:p>
    <w:p w14:paraId="19113011"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Destacó especialmente que:</w:t>
      </w:r>
    </w:p>
    <w:p w14:paraId="436DB3FF" w14:textId="77777777" w:rsidR="002A228C" w:rsidRPr="002A228C" w:rsidRDefault="002A228C" w:rsidP="002A228C">
      <w:pPr>
        <w:numPr>
          <w:ilvl w:val="0"/>
          <w:numId w:val="12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legislador reemplazó la referencia a “delito” precedente, </w:t>
      </w:r>
    </w:p>
    <w:p w14:paraId="629F23D6" w14:textId="77777777" w:rsidR="002A228C" w:rsidRPr="002A228C" w:rsidRDefault="002A228C" w:rsidP="002A228C">
      <w:pPr>
        <w:numPr>
          <w:ilvl w:val="0"/>
          <w:numId w:val="128"/>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por la noción más amplia de “ilícito penal”. </w:t>
      </w:r>
    </w:p>
    <w:p w14:paraId="0E2EBFA8"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Por ello:</w:t>
      </w:r>
    </w:p>
    <w:p w14:paraId="327B4DA0" w14:textId="77777777" w:rsidR="002A228C" w:rsidRPr="002A228C" w:rsidRDefault="002A228C" w:rsidP="002A228C">
      <w:pPr>
        <w:numPr>
          <w:ilvl w:val="0"/>
          <w:numId w:val="12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no se requiere: </w:t>
      </w:r>
    </w:p>
    <w:p w14:paraId="3F5DB271" w14:textId="77777777" w:rsidR="002A228C" w:rsidRPr="002A228C" w:rsidRDefault="002A228C" w:rsidP="002A228C">
      <w:pPr>
        <w:numPr>
          <w:ilvl w:val="1"/>
          <w:numId w:val="12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condena firme, </w:t>
      </w:r>
    </w:p>
    <w:p w14:paraId="08935F30" w14:textId="77777777" w:rsidR="002A228C" w:rsidRPr="002A228C" w:rsidRDefault="002A228C" w:rsidP="002A228C">
      <w:pPr>
        <w:numPr>
          <w:ilvl w:val="1"/>
          <w:numId w:val="12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acción penal vigente, </w:t>
      </w:r>
    </w:p>
    <w:p w14:paraId="18B76884" w14:textId="77777777" w:rsidR="002A228C" w:rsidRPr="002A228C" w:rsidRDefault="002A228C" w:rsidP="002A228C">
      <w:pPr>
        <w:numPr>
          <w:ilvl w:val="1"/>
          <w:numId w:val="129"/>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ni perseguibilidad actual del hecho base. </w:t>
      </w:r>
    </w:p>
    <w:p w14:paraId="4F314CA5"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único requisito es:</w:t>
      </w:r>
    </w:p>
    <w:p w14:paraId="315634BA" w14:textId="77777777" w:rsidR="002A228C" w:rsidRPr="002A228C" w:rsidRDefault="002A228C" w:rsidP="002A228C">
      <w:pPr>
        <w:numPr>
          <w:ilvl w:val="0"/>
          <w:numId w:val="130"/>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que los bienes provengan de una conducta típica y antijurídica. </w:t>
      </w:r>
    </w:p>
    <w:p w14:paraId="533194CB"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277F024B">
          <v:rect id="_x0000_i1057" style="width:0;height:1.5pt" o:hralign="center" o:hrstd="t" o:hr="t" fillcolor="#a0a0a0" stroked="f"/>
        </w:pict>
      </w:r>
    </w:p>
    <w:p w14:paraId="302605B1"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c) Necesidad de prueba en juicio oral</w:t>
      </w:r>
    </w:p>
    <w:p w14:paraId="3DB517E4"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El Tribunal concluyó que:</w:t>
      </w:r>
    </w:p>
    <w:p w14:paraId="67624F55" w14:textId="77777777" w:rsidR="002A228C" w:rsidRPr="002A228C" w:rsidRDefault="002A228C" w:rsidP="002A228C">
      <w:pPr>
        <w:numPr>
          <w:ilvl w:val="0"/>
          <w:numId w:val="13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determinar si efectivamente existió un “ilícito penal” previo, </w:t>
      </w:r>
    </w:p>
    <w:p w14:paraId="418A50FC" w14:textId="77777777" w:rsidR="002A228C" w:rsidRPr="002A228C" w:rsidRDefault="002A228C" w:rsidP="002A228C">
      <w:pPr>
        <w:numPr>
          <w:ilvl w:val="0"/>
          <w:numId w:val="13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exige: </w:t>
      </w:r>
    </w:p>
    <w:p w14:paraId="7251BCF8" w14:textId="77777777" w:rsidR="002A228C" w:rsidRPr="002A228C" w:rsidRDefault="002A228C" w:rsidP="002A228C">
      <w:pPr>
        <w:numPr>
          <w:ilvl w:val="1"/>
          <w:numId w:val="13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producción probatoria, </w:t>
      </w:r>
    </w:p>
    <w:p w14:paraId="44CB65BD" w14:textId="77777777" w:rsidR="002A228C" w:rsidRPr="002A228C" w:rsidRDefault="002A228C" w:rsidP="002A228C">
      <w:pPr>
        <w:numPr>
          <w:ilvl w:val="1"/>
          <w:numId w:val="131"/>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y debate oral. </w:t>
      </w:r>
    </w:p>
    <w:p w14:paraId="4A0AD003"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En consecuencia:</w:t>
      </w:r>
    </w:p>
    <w:p w14:paraId="1BDAE074" w14:textId="77777777" w:rsidR="002A228C" w:rsidRPr="002A228C" w:rsidRDefault="002A228C" w:rsidP="002A228C">
      <w:pPr>
        <w:numPr>
          <w:ilvl w:val="0"/>
          <w:numId w:val="132"/>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rechazó el planteo defensista de sobreseimiento anticipado. </w:t>
      </w:r>
    </w:p>
    <w:p w14:paraId="36E1820E" w14:textId="77777777" w:rsidR="002A228C" w:rsidRPr="002A228C" w:rsidRDefault="004008F7" w:rsidP="002A228C">
      <w:pPr>
        <w:spacing w:after="0" w:line="240" w:lineRule="auto"/>
        <w:rPr>
          <w:rFonts w:ascii="Times New Roman" w:eastAsia="Times New Roman" w:hAnsi="Times New Roman" w:cs="Times New Roman"/>
          <w:sz w:val="24"/>
          <w:szCs w:val="24"/>
          <w:lang w:eastAsia="es-AR"/>
        </w:rPr>
      </w:pPr>
      <w:r>
        <w:rPr>
          <w:rFonts w:ascii="Times New Roman" w:eastAsia="Times New Roman" w:hAnsi="Times New Roman" w:cs="Times New Roman"/>
          <w:sz w:val="24"/>
          <w:szCs w:val="24"/>
          <w:lang w:eastAsia="es-AR"/>
        </w:rPr>
        <w:pict w14:anchorId="4E87AD1E">
          <v:rect id="_x0000_i1058" style="width:0;height:1.5pt" o:hralign="center" o:hrstd="t" o:hr="t" fillcolor="#a0a0a0" stroked="f"/>
        </w:pict>
      </w:r>
    </w:p>
    <w:p w14:paraId="04472A9B" w14:textId="77777777" w:rsidR="002A228C" w:rsidRPr="002A228C" w:rsidRDefault="002A228C" w:rsidP="002A228C">
      <w:pPr>
        <w:spacing w:before="100" w:beforeAutospacing="1" w:after="100" w:afterAutospacing="1" w:line="240" w:lineRule="auto"/>
        <w:outlineLvl w:val="0"/>
        <w:rPr>
          <w:rFonts w:ascii="Times New Roman" w:eastAsia="Times New Roman" w:hAnsi="Times New Roman" w:cs="Times New Roman"/>
          <w:b/>
          <w:bCs/>
          <w:kern w:val="36"/>
          <w:sz w:val="48"/>
          <w:szCs w:val="48"/>
          <w:lang w:eastAsia="es-AR"/>
        </w:rPr>
      </w:pPr>
      <w:r w:rsidRPr="002A228C">
        <w:rPr>
          <w:rFonts w:ascii="Times New Roman" w:eastAsia="Times New Roman" w:hAnsi="Times New Roman" w:cs="Times New Roman"/>
          <w:b/>
          <w:bCs/>
          <w:kern w:val="36"/>
          <w:sz w:val="48"/>
          <w:szCs w:val="48"/>
          <w:lang w:eastAsia="es-AR"/>
        </w:rPr>
        <w:t>IV. Resolución final de la causa</w:t>
      </w:r>
    </w:p>
    <w:p w14:paraId="393A35C8"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lastRenderedPageBreak/>
        <w:t>El Tribunal resolvió:</w:t>
      </w:r>
    </w:p>
    <w:p w14:paraId="092DF959"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1. Rechazar por abstractos los planteos relativos a los delitos tributarios</w:t>
      </w:r>
    </w:p>
    <w:p w14:paraId="43C38DF2"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Porque:</w:t>
      </w:r>
    </w:p>
    <w:p w14:paraId="402942BF" w14:textId="77777777" w:rsidR="002A228C" w:rsidRPr="002A228C" w:rsidRDefault="002A228C" w:rsidP="002A228C">
      <w:pPr>
        <w:numPr>
          <w:ilvl w:val="0"/>
          <w:numId w:val="133"/>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la acción penal tributaria ya había sido extinguida mediante resolución firme. </w:t>
      </w:r>
    </w:p>
    <w:p w14:paraId="09F27E52" w14:textId="77777777" w:rsidR="002A228C" w:rsidRPr="002A228C" w:rsidRDefault="002A228C" w:rsidP="002A228C">
      <w:pPr>
        <w:spacing w:before="100" w:beforeAutospacing="1" w:after="100" w:afterAutospacing="1" w:line="240" w:lineRule="auto"/>
        <w:outlineLvl w:val="2"/>
        <w:rPr>
          <w:rFonts w:ascii="Times New Roman" w:eastAsia="Times New Roman" w:hAnsi="Times New Roman" w:cs="Times New Roman"/>
          <w:b/>
          <w:bCs/>
          <w:sz w:val="27"/>
          <w:szCs w:val="27"/>
          <w:lang w:eastAsia="es-AR"/>
        </w:rPr>
      </w:pPr>
      <w:r w:rsidRPr="002A228C">
        <w:rPr>
          <w:rFonts w:ascii="Times New Roman" w:eastAsia="Times New Roman" w:hAnsi="Times New Roman" w:cs="Times New Roman"/>
          <w:b/>
          <w:bCs/>
          <w:sz w:val="27"/>
          <w:szCs w:val="27"/>
          <w:lang w:eastAsia="es-AR"/>
        </w:rPr>
        <w:t>2. Rechazar el incidente de falta de acción y pedido de sobreseimiento respecto del lavado de activos</w:t>
      </w:r>
    </w:p>
    <w:p w14:paraId="36E4B69A" w14:textId="77777777" w:rsidR="002A228C" w:rsidRPr="002A228C" w:rsidRDefault="002A228C" w:rsidP="002A228C">
      <w:p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Al considerar que:</w:t>
      </w:r>
    </w:p>
    <w:p w14:paraId="7F3E0F3A" w14:textId="77777777" w:rsidR="002A228C" w:rsidRPr="002A228C" w:rsidRDefault="002A228C" w:rsidP="002A228C">
      <w:pPr>
        <w:numPr>
          <w:ilvl w:val="0"/>
          <w:numId w:val="134"/>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 xml:space="preserve">el lavado es un delito autónomo, </w:t>
      </w:r>
    </w:p>
    <w:p w14:paraId="0ADB29BF" w14:textId="77777777" w:rsidR="002A228C" w:rsidRPr="002A228C" w:rsidRDefault="002A228C" w:rsidP="002A228C">
      <w:pPr>
        <w:numPr>
          <w:ilvl w:val="0"/>
          <w:numId w:val="134"/>
        </w:numPr>
        <w:spacing w:before="100" w:beforeAutospacing="1" w:after="100" w:afterAutospacing="1" w:line="240" w:lineRule="auto"/>
        <w:rPr>
          <w:rFonts w:ascii="Times New Roman" w:eastAsia="Times New Roman" w:hAnsi="Times New Roman" w:cs="Times New Roman"/>
          <w:sz w:val="24"/>
          <w:szCs w:val="24"/>
          <w:lang w:eastAsia="es-AR"/>
        </w:rPr>
      </w:pPr>
      <w:r w:rsidRPr="002A228C">
        <w:rPr>
          <w:rFonts w:ascii="Times New Roman" w:eastAsia="Times New Roman" w:hAnsi="Times New Roman" w:cs="Times New Roman"/>
          <w:sz w:val="24"/>
          <w:szCs w:val="24"/>
          <w:lang w:eastAsia="es-AR"/>
        </w:rPr>
        <w:t>y que la discusión sobre el ilícito previo debe ventilarse en juicio oral</w:t>
      </w:r>
    </w:p>
    <w:p w14:paraId="7A92CB76" w14:textId="1CD3FB62" w:rsidR="002A228C" w:rsidRDefault="002A228C" w:rsidP="002A228C">
      <w:pPr>
        <w:spacing w:before="100" w:beforeAutospacing="1" w:after="100" w:afterAutospacing="1" w:line="240" w:lineRule="auto"/>
        <w:rPr>
          <w:rFonts w:ascii="Times New Roman" w:eastAsia="Times New Roman" w:hAnsi="Times New Roman" w:cs="Times New Roman"/>
          <w:b/>
          <w:bCs/>
          <w:sz w:val="24"/>
          <w:szCs w:val="24"/>
          <w:u w:val="single"/>
          <w:lang w:eastAsia="es-AR"/>
        </w:rPr>
      </w:pPr>
    </w:p>
    <w:p w14:paraId="0B5FA064" w14:textId="77777777" w:rsidR="004008F7" w:rsidRPr="004008F7" w:rsidRDefault="004008F7" w:rsidP="002A228C">
      <w:pPr>
        <w:spacing w:before="100" w:beforeAutospacing="1" w:after="100" w:afterAutospacing="1" w:line="240" w:lineRule="auto"/>
        <w:rPr>
          <w:rFonts w:ascii="Times New Roman" w:eastAsia="Times New Roman" w:hAnsi="Times New Roman" w:cs="Times New Roman"/>
          <w:b/>
          <w:bCs/>
          <w:sz w:val="24"/>
          <w:szCs w:val="24"/>
          <w:u w:val="single"/>
          <w:lang w:eastAsia="es-AR"/>
        </w:rPr>
      </w:pPr>
    </w:p>
    <w:p w14:paraId="199655BD" w14:textId="6D134158" w:rsidR="00AB3EE5" w:rsidRPr="004008F7" w:rsidRDefault="005B71E1" w:rsidP="00A245F2">
      <w:pPr>
        <w:rPr>
          <w:rFonts w:ascii="Times New Roman" w:hAnsi="Times New Roman" w:cs="Times New Roman"/>
          <w:b/>
          <w:bCs/>
          <w:sz w:val="24"/>
          <w:szCs w:val="24"/>
          <w:u w:val="single"/>
        </w:rPr>
      </w:pPr>
      <w:r w:rsidRPr="004008F7">
        <w:rPr>
          <w:rFonts w:ascii="Times New Roman" w:hAnsi="Times New Roman" w:cs="Times New Roman"/>
          <w:b/>
          <w:bCs/>
          <w:sz w:val="24"/>
          <w:szCs w:val="24"/>
          <w:u w:val="single"/>
        </w:rPr>
        <w:t>FALLO VII</w:t>
      </w:r>
    </w:p>
    <w:p w14:paraId="3999F6F8" w14:textId="77777777" w:rsidR="005B71E1" w:rsidRPr="004008F7" w:rsidRDefault="005B71E1" w:rsidP="005B71E1">
      <w:pPr>
        <w:rPr>
          <w:rFonts w:ascii="Times New Roman" w:hAnsi="Times New Roman" w:cs="Times New Roman"/>
          <w:b/>
          <w:bCs/>
          <w:sz w:val="24"/>
          <w:szCs w:val="24"/>
          <w:u w:val="single"/>
        </w:rPr>
      </w:pPr>
      <w:r w:rsidRPr="004008F7">
        <w:rPr>
          <w:rFonts w:ascii="Times New Roman" w:hAnsi="Times New Roman" w:cs="Times New Roman"/>
          <w:b/>
          <w:bCs/>
          <w:sz w:val="24"/>
          <w:szCs w:val="24"/>
          <w:u w:val="single"/>
        </w:rPr>
        <w:t>Fallo CPE 1460/2018 – DIA ARGENTINA S.A. s/ Infracción Ley 24.769</w:t>
      </w:r>
    </w:p>
    <w:p w14:paraId="57FD379B" w14:textId="77777777" w:rsidR="005B71E1" w:rsidRPr="004008F7" w:rsidRDefault="005B71E1" w:rsidP="005B71E1">
      <w:pPr>
        <w:rPr>
          <w:rFonts w:ascii="Times New Roman" w:hAnsi="Times New Roman" w:cs="Times New Roman"/>
          <w:b/>
          <w:bCs/>
          <w:sz w:val="24"/>
          <w:szCs w:val="24"/>
          <w:u w:val="single"/>
        </w:rPr>
      </w:pPr>
      <w:r w:rsidRPr="004008F7">
        <w:rPr>
          <w:rFonts w:ascii="Times New Roman" w:hAnsi="Times New Roman" w:cs="Times New Roman"/>
          <w:b/>
          <w:bCs/>
          <w:sz w:val="24"/>
          <w:szCs w:val="24"/>
          <w:u w:val="single"/>
        </w:rPr>
        <w:t xml:space="preserve">Juzgado Nacional en lo Penal Económico </w:t>
      </w:r>
      <w:proofErr w:type="spellStart"/>
      <w:r w:rsidRPr="004008F7">
        <w:rPr>
          <w:rFonts w:ascii="Times New Roman" w:hAnsi="Times New Roman" w:cs="Times New Roman"/>
          <w:b/>
          <w:bCs/>
          <w:sz w:val="24"/>
          <w:szCs w:val="24"/>
          <w:u w:val="single"/>
        </w:rPr>
        <w:t>N°</w:t>
      </w:r>
      <w:proofErr w:type="spellEnd"/>
      <w:r w:rsidRPr="004008F7">
        <w:rPr>
          <w:rFonts w:ascii="Times New Roman" w:hAnsi="Times New Roman" w:cs="Times New Roman"/>
          <w:b/>
          <w:bCs/>
          <w:sz w:val="24"/>
          <w:szCs w:val="24"/>
          <w:u w:val="single"/>
        </w:rPr>
        <w:t xml:space="preserve"> 2 – 20 de abril de 2026</w:t>
      </w:r>
    </w:p>
    <w:p w14:paraId="284B1FDC" w14:textId="77777777" w:rsidR="005B71E1" w:rsidRPr="005B71E1" w:rsidRDefault="005B71E1" w:rsidP="005B71E1">
      <w:pPr>
        <w:rPr>
          <w:rFonts w:ascii="Times New Roman" w:hAnsi="Times New Roman" w:cs="Times New Roman"/>
          <w:sz w:val="24"/>
          <w:szCs w:val="24"/>
        </w:rPr>
      </w:pPr>
    </w:p>
    <w:p w14:paraId="6511F9A3"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I. ANTECEDENTES FÁCTICOS</w:t>
      </w:r>
    </w:p>
    <w:p w14:paraId="6746148F"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La causa se inició por denuncia de la Dirección General de los Recursos de la Seguridad Social de la ex AFIP, quien denunció a DIA ARGENTINA S.A. por presunta evasión previsional. El caso tuvo origen en una causa anterior tramitada ante el Juzgado Penal Económico </w:t>
      </w:r>
      <w:proofErr w:type="spellStart"/>
      <w:r w:rsidRPr="005B71E1">
        <w:rPr>
          <w:rFonts w:ascii="Times New Roman" w:hAnsi="Times New Roman" w:cs="Times New Roman"/>
          <w:sz w:val="24"/>
          <w:szCs w:val="24"/>
        </w:rPr>
        <w:t>N°</w:t>
      </w:r>
      <w:proofErr w:type="spellEnd"/>
      <w:r w:rsidRPr="005B71E1">
        <w:rPr>
          <w:rFonts w:ascii="Times New Roman" w:hAnsi="Times New Roman" w:cs="Times New Roman"/>
          <w:sz w:val="24"/>
          <w:szCs w:val="24"/>
        </w:rPr>
        <w:t xml:space="preserve"> 10, donde un ex franquiciado (Gustavo ARO) denunció que su salario había sido embargado por la AFIP a raíz de deudas previsionales que consideraba no le correspondían, ya que no se veía a sí mismo como empleador sino como dependiente de DIA.</w:t>
      </w:r>
    </w:p>
    <w:p w14:paraId="068F9216" w14:textId="77777777" w:rsidR="005B71E1" w:rsidRPr="005B71E1" w:rsidRDefault="005B71E1" w:rsidP="005B71E1">
      <w:pPr>
        <w:rPr>
          <w:rFonts w:ascii="Times New Roman" w:hAnsi="Times New Roman" w:cs="Times New Roman"/>
          <w:sz w:val="24"/>
          <w:szCs w:val="24"/>
        </w:rPr>
      </w:pPr>
    </w:p>
    <w:p w14:paraId="4CE40B31"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El esquema investigado consistía en que DIA ARGENTINA S.A. utilizaba figuras contractuales de franquicia, concesión y consignación para interponer a terceros (los supuestos “franquiciados”) entre ella y los trabajadores que efectivamente prestaban servicios en sus locales, evitando así ingresar los aportes y contribuciones al sistema de seguridad social como empleadora directa.</w:t>
      </w:r>
    </w:p>
    <w:p w14:paraId="638E2F4A" w14:textId="77777777" w:rsidR="005B71E1" w:rsidRPr="005B71E1" w:rsidRDefault="005B71E1" w:rsidP="005B71E1">
      <w:pPr>
        <w:rPr>
          <w:rFonts w:ascii="Times New Roman" w:hAnsi="Times New Roman" w:cs="Times New Roman"/>
          <w:sz w:val="24"/>
          <w:szCs w:val="24"/>
        </w:rPr>
      </w:pPr>
    </w:p>
    <w:p w14:paraId="60B91793"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Los hechos más relevantes acreditados durante la instrucción fueron los siguientes:</w:t>
      </w:r>
    </w:p>
    <w:p w14:paraId="37CA5F9C" w14:textId="77777777" w:rsidR="005B71E1" w:rsidRPr="005B71E1" w:rsidRDefault="005B71E1" w:rsidP="005B71E1">
      <w:pPr>
        <w:rPr>
          <w:rFonts w:ascii="Times New Roman" w:hAnsi="Times New Roman" w:cs="Times New Roman"/>
          <w:sz w:val="24"/>
          <w:szCs w:val="24"/>
        </w:rPr>
      </w:pPr>
    </w:p>
    <w:p w14:paraId="69C2AB27"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lastRenderedPageBreak/>
        <w:t>Control operativo total: DIA seleccionaba, capacitaba y despedía al personal de las tiendas, incluyendo a los propios franquiciados y su “mano derecha”. El área de Recursos Humanos de la empresa entrevistaba y filtraba candidatos, excluyendo expresamente a abogados y contadores públicos. Los franquiciados no elegían la tienda que operaban, sino que les era asignada.</w:t>
      </w:r>
    </w:p>
    <w:p w14:paraId="6C2CDBF2" w14:textId="77777777" w:rsidR="005B71E1" w:rsidRPr="005B71E1" w:rsidRDefault="005B71E1" w:rsidP="005B71E1">
      <w:pPr>
        <w:rPr>
          <w:rFonts w:ascii="Times New Roman" w:hAnsi="Times New Roman" w:cs="Times New Roman"/>
          <w:sz w:val="24"/>
          <w:szCs w:val="24"/>
        </w:rPr>
      </w:pPr>
    </w:p>
    <w:p w14:paraId="0FFEB885"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Ausencia de riesgo empresario: Los candidatos no debían realizar inversión inicial de capital, sino únicamente firmar pagarés en blanco y constituir garantías. La empresa incluso aceptaba candidatos con antecedentes crediticios negativos (situaciones 4 y 5 de riesgo alto e irrecuperable). Los franquiciados recibían solo una comisión fija del 5% sobre ventas, y sus liquidaciones resultaban frecuentemente negativas, debiendo solicitar adelantos a DIA para pagar salarios y cargas sociales.</w:t>
      </w:r>
    </w:p>
    <w:p w14:paraId="39F9857B" w14:textId="77777777" w:rsidR="005B71E1" w:rsidRPr="005B71E1" w:rsidRDefault="005B71E1" w:rsidP="005B71E1">
      <w:pPr>
        <w:rPr>
          <w:rFonts w:ascii="Times New Roman" w:hAnsi="Times New Roman" w:cs="Times New Roman"/>
          <w:sz w:val="24"/>
          <w:szCs w:val="24"/>
        </w:rPr>
      </w:pPr>
    </w:p>
    <w:p w14:paraId="34829E3E"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Control financiero absoluto: La recaudación en efectivo era retirada por empresas de caudales (MACO, BRINKS) contratadas exclusivamente por DIA. Los pagos con tarjeta se acreditaban directamente en cuentas de la compañía. Los supervisores disponían de acceso especial al sistema informático “llave 4” para modificar stocks y precios de forma unilateral.</w:t>
      </w:r>
    </w:p>
    <w:p w14:paraId="11FD9335" w14:textId="77777777" w:rsidR="005B71E1" w:rsidRPr="005B71E1" w:rsidRDefault="005B71E1" w:rsidP="005B71E1">
      <w:pPr>
        <w:rPr>
          <w:rFonts w:ascii="Times New Roman" w:hAnsi="Times New Roman" w:cs="Times New Roman"/>
          <w:sz w:val="24"/>
          <w:szCs w:val="24"/>
        </w:rPr>
      </w:pPr>
    </w:p>
    <w:p w14:paraId="48051432"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Titularidad jurídica de los locales: DIA era titular de los contratos de alquiler de los inmuebles (en provincia de Buenos Aires mediante su firma controlada PROMOACTIVA S.A.), de las habilitaciones municipales y abonaba los servicios básicos. Los controladores fiscales y tickets operaban a nombre de DIA ARGENTINA S.A.</w:t>
      </w:r>
    </w:p>
    <w:p w14:paraId="05E4A7FF" w14:textId="77777777" w:rsidR="005B71E1" w:rsidRPr="005B71E1" w:rsidRDefault="005B71E1" w:rsidP="005B71E1">
      <w:pPr>
        <w:rPr>
          <w:rFonts w:ascii="Times New Roman" w:hAnsi="Times New Roman" w:cs="Times New Roman"/>
          <w:sz w:val="24"/>
          <w:szCs w:val="24"/>
        </w:rPr>
      </w:pPr>
    </w:p>
    <w:p w14:paraId="300D8F58"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Rotación sistemática de franquiciados: Sobre un universo de 1.072 supuestos franquiciados, existía una práctica sistemática de rotación donde los sujetos eran asignados y reubicados según el arbitrio de la compañía. Se detectó que 2.267 trabajadores prestaron servicios para más de un franquiciado, lo que evidenciaba que la dependencia real era directa con DIA.</w:t>
      </w:r>
    </w:p>
    <w:p w14:paraId="1340F52B" w14:textId="77777777" w:rsidR="005B71E1" w:rsidRPr="005B71E1" w:rsidRDefault="005B71E1" w:rsidP="005B71E1">
      <w:pPr>
        <w:rPr>
          <w:rFonts w:ascii="Times New Roman" w:hAnsi="Times New Roman" w:cs="Times New Roman"/>
          <w:sz w:val="24"/>
          <w:szCs w:val="24"/>
        </w:rPr>
      </w:pPr>
    </w:p>
    <w:p w14:paraId="3E0A3010"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Reclutamiento de jubilados: Un correo electrónico interno reveló un plan para captar jubilados a través del PAMI, valorando no su experiencia comercial (que era nula), sino su “garantía propietaria” y la posibilidad de que aportaran familiares como trabajadores.</w:t>
      </w:r>
    </w:p>
    <w:p w14:paraId="27E2AD8E" w14:textId="77777777" w:rsidR="005B71E1" w:rsidRPr="005B71E1" w:rsidRDefault="005B71E1" w:rsidP="005B71E1">
      <w:pPr>
        <w:rPr>
          <w:rFonts w:ascii="Times New Roman" w:hAnsi="Times New Roman" w:cs="Times New Roman"/>
          <w:sz w:val="24"/>
          <w:szCs w:val="24"/>
        </w:rPr>
      </w:pPr>
    </w:p>
    <w:p w14:paraId="3E28EEF6"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Prueba judicial y laboral: Once sentencias laborales firmes declararon la nulidad de los contratos de franquicia por simulación y fraude (artículos 14 y 29 de la Ley de Contrato de Trabajo), condenando a DIA como empleadora directa. Se relevaron 137 causas laborales, en cuya gran mayoría DIA asumió íntegramente la carga indemnizatoria mediante acuerdos conciliatorios.</w:t>
      </w:r>
    </w:p>
    <w:p w14:paraId="43642D0E" w14:textId="77777777" w:rsidR="005B71E1" w:rsidRPr="005B71E1" w:rsidRDefault="005B71E1" w:rsidP="005B71E1">
      <w:pPr>
        <w:rPr>
          <w:rFonts w:ascii="Times New Roman" w:hAnsi="Times New Roman" w:cs="Times New Roman"/>
          <w:sz w:val="24"/>
          <w:szCs w:val="24"/>
        </w:rPr>
      </w:pPr>
    </w:p>
    <w:p w14:paraId="75215C2E"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Prueba digital: Se analizaron aproximadamente 20.000 correos electrónicos corporativos y se realizaron intervenciones telefónicas, que revelaron decisiones directas de los mandos gerenciales sobre cierres de tiendas, asignación y traslado de franquiciados, despidos de trabajadores y manejo de personal no registrado.</w:t>
      </w:r>
    </w:p>
    <w:p w14:paraId="1BDA58B5" w14:textId="77777777" w:rsidR="005B71E1" w:rsidRPr="005B71E1" w:rsidRDefault="005B71E1" w:rsidP="005B71E1">
      <w:pPr>
        <w:rPr>
          <w:rFonts w:ascii="Times New Roman" w:hAnsi="Times New Roman" w:cs="Times New Roman"/>
          <w:sz w:val="24"/>
          <w:szCs w:val="24"/>
        </w:rPr>
      </w:pPr>
    </w:p>
    <w:p w14:paraId="2289E54F"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Resultado fiscal: La fiscalización bajo la Orden de Intervención </w:t>
      </w:r>
      <w:proofErr w:type="spellStart"/>
      <w:r w:rsidRPr="005B71E1">
        <w:rPr>
          <w:rFonts w:ascii="Times New Roman" w:hAnsi="Times New Roman" w:cs="Times New Roman"/>
          <w:sz w:val="24"/>
          <w:szCs w:val="24"/>
        </w:rPr>
        <w:t>N°</w:t>
      </w:r>
      <w:proofErr w:type="spellEnd"/>
      <w:r w:rsidRPr="005B71E1">
        <w:rPr>
          <w:rFonts w:ascii="Times New Roman" w:hAnsi="Times New Roman" w:cs="Times New Roman"/>
          <w:sz w:val="24"/>
          <w:szCs w:val="24"/>
        </w:rPr>
        <w:t xml:space="preserve"> 1770079 determinó una evasión de aportes y contribuciones por el período 1/2014 a 12/2018 de $ 808.331.036,85 en capital histórico, que con intereses y multas alcanzó un perjuicio total reclamado de $ 3.783.422.762,35.</w:t>
      </w:r>
    </w:p>
    <w:p w14:paraId="1F2EBB1A" w14:textId="77777777" w:rsidR="005B71E1" w:rsidRPr="005B71E1" w:rsidRDefault="005B71E1" w:rsidP="005B71E1">
      <w:pPr>
        <w:rPr>
          <w:rFonts w:ascii="Times New Roman" w:hAnsi="Times New Roman" w:cs="Times New Roman"/>
          <w:sz w:val="24"/>
          <w:szCs w:val="24"/>
        </w:rPr>
      </w:pPr>
    </w:p>
    <w:p w14:paraId="5ECC9F26"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II. ANTECEDENTES JURÍDICOS Y PROCESALES</w:t>
      </w:r>
    </w:p>
    <w:p w14:paraId="6B025250" w14:textId="77777777" w:rsidR="005B71E1" w:rsidRPr="005B71E1" w:rsidRDefault="005B71E1" w:rsidP="005B71E1">
      <w:pPr>
        <w:rPr>
          <w:rFonts w:ascii="Times New Roman" w:hAnsi="Times New Roman" w:cs="Times New Roman"/>
          <w:sz w:val="24"/>
          <w:szCs w:val="24"/>
        </w:rPr>
      </w:pPr>
    </w:p>
    <w:p w14:paraId="531CBB47"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Calificación legal original: Los hechos fueron encuadrados en el artículo 8, incisos a y b, de la Ley 24.769 (para períodos anteriores a 2018) y en el artículo 6, incisos a y b, del Régimen Penal Tributario de la Ley 27.430 (para los períodos de 2017 y 2018).</w:t>
      </w:r>
    </w:p>
    <w:p w14:paraId="10496225" w14:textId="77777777" w:rsidR="005B71E1" w:rsidRPr="005B71E1" w:rsidRDefault="005B71E1" w:rsidP="005B71E1">
      <w:pPr>
        <w:rPr>
          <w:rFonts w:ascii="Times New Roman" w:hAnsi="Times New Roman" w:cs="Times New Roman"/>
          <w:sz w:val="24"/>
          <w:szCs w:val="24"/>
        </w:rPr>
      </w:pPr>
    </w:p>
    <w:p w14:paraId="6A46E6A0"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Incidencias procesales relevantes:</w:t>
      </w:r>
    </w:p>
    <w:p w14:paraId="3D0A8960" w14:textId="77777777" w:rsidR="005B71E1" w:rsidRPr="005B71E1" w:rsidRDefault="005B71E1" w:rsidP="005B71E1">
      <w:pPr>
        <w:rPr>
          <w:rFonts w:ascii="Times New Roman" w:hAnsi="Times New Roman" w:cs="Times New Roman"/>
          <w:sz w:val="24"/>
          <w:szCs w:val="24"/>
        </w:rPr>
      </w:pPr>
    </w:p>
    <w:p w14:paraId="58450E60"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La defensa técnica planteó el acogimiento al régimen de la Ley 27.541 (moratoria), lo que dio lugar a sobreseimientos que fueron confirmados por la Alzada respecto de las personas físicas imputadas (GRANDE, IGLESIAS PEINADO, LAVENAS, DUCAROUGE, HARDOY y LÓPEZ) y también respecto de COTO GUTIÉRREZ en un incidente posterior. Dichos sobreseimientos se encuentran bajo análisis de la Corte Suprema de Justicia de la Nación en el marco de recursos de queja interpuestos por la querella (ARCA).</w:t>
      </w:r>
    </w:p>
    <w:p w14:paraId="6C45654B" w14:textId="77777777" w:rsidR="005B71E1" w:rsidRPr="005B71E1" w:rsidRDefault="005B71E1" w:rsidP="005B71E1">
      <w:pPr>
        <w:rPr>
          <w:rFonts w:ascii="Times New Roman" w:hAnsi="Times New Roman" w:cs="Times New Roman"/>
          <w:sz w:val="24"/>
          <w:szCs w:val="24"/>
        </w:rPr>
      </w:pPr>
    </w:p>
    <w:p w14:paraId="3D4BE814"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Respecto de DIA ARGENTINA S.A. como persona jurídica, la Alzada revocó parcialmente la aplicación de los beneficios de la Ley 27.541, manteniéndose el proceso penal. Esta decisión también se encuentra sub examine de la Corte Suprema.</w:t>
      </w:r>
    </w:p>
    <w:p w14:paraId="24132E98" w14:textId="77777777" w:rsidR="005B71E1" w:rsidRPr="005B71E1" w:rsidRDefault="005B71E1" w:rsidP="005B71E1">
      <w:pPr>
        <w:rPr>
          <w:rFonts w:ascii="Times New Roman" w:hAnsi="Times New Roman" w:cs="Times New Roman"/>
          <w:sz w:val="24"/>
          <w:szCs w:val="24"/>
        </w:rPr>
      </w:pPr>
    </w:p>
    <w:p w14:paraId="0EEF4335"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Impacto de la Ley 27.799: Publicada el 2/1/2026, esta ley elevó los montos mínimos de punibilidad: evasión simple a $ 7.000.000 por mes; evasión agravada por monto a $ 35.000.000 por mes; y evasión agravada por interpósita persona a $ 14.000.000 por mes. Su aplicación retroactiva, en virtud del principio de ley penal más benigna, produjo el sobreseimiento de DIA en los períodos 1/2014 a 5/2014, 7/2014 y 8/2014 (montos por debajo del nuevo mínimo) y también por prescripción respecto de los períodos 6/2014, 9/2014 a 11/2015, 1/2016 y 2/2016 (recalificados como evasión simple </w:t>
      </w:r>
      <w:r w:rsidRPr="005B71E1">
        <w:rPr>
          <w:rFonts w:ascii="Times New Roman" w:hAnsi="Times New Roman" w:cs="Times New Roman"/>
          <w:sz w:val="24"/>
          <w:szCs w:val="24"/>
        </w:rPr>
        <w:lastRenderedPageBreak/>
        <w:t>y con el plazo ya vencido al momento de la primera citación a indagatoria del 5/4/2022). El objeto procesal quedó así circunscripto a los períodos 12/2015 y 3/2016 a 12/2018.</w:t>
      </w:r>
    </w:p>
    <w:p w14:paraId="0BF1EE65" w14:textId="77777777" w:rsidR="005B71E1" w:rsidRPr="005B71E1" w:rsidRDefault="005B71E1" w:rsidP="005B71E1">
      <w:pPr>
        <w:rPr>
          <w:rFonts w:ascii="Times New Roman" w:hAnsi="Times New Roman" w:cs="Times New Roman"/>
          <w:sz w:val="24"/>
          <w:szCs w:val="24"/>
        </w:rPr>
      </w:pPr>
    </w:p>
    <w:p w14:paraId="5B535DA0"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La declaración indagatoria de DIA ARGENTINA S.A. se recibió el 18/12/2025 a través de su apoderado.</w:t>
      </w:r>
    </w:p>
    <w:p w14:paraId="283BA129" w14:textId="77777777" w:rsidR="005B71E1" w:rsidRPr="005B71E1" w:rsidRDefault="005B71E1" w:rsidP="005B71E1">
      <w:pPr>
        <w:rPr>
          <w:rFonts w:ascii="Times New Roman" w:hAnsi="Times New Roman" w:cs="Times New Roman"/>
          <w:sz w:val="24"/>
          <w:szCs w:val="24"/>
        </w:rPr>
      </w:pPr>
    </w:p>
    <w:p w14:paraId="12A27A2A"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III. POSTURAS DE LAS PARTES</w:t>
      </w:r>
    </w:p>
    <w:p w14:paraId="7E354FAE" w14:textId="77777777" w:rsidR="005B71E1" w:rsidRPr="005B71E1" w:rsidRDefault="005B71E1" w:rsidP="005B71E1">
      <w:pPr>
        <w:rPr>
          <w:rFonts w:ascii="Times New Roman" w:hAnsi="Times New Roman" w:cs="Times New Roman"/>
          <w:sz w:val="24"/>
          <w:szCs w:val="24"/>
        </w:rPr>
      </w:pPr>
    </w:p>
    <w:p w14:paraId="5E3ECFC7"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A. Postura de la Fiscalía</w:t>
      </w:r>
    </w:p>
    <w:p w14:paraId="2AB5F204" w14:textId="77777777" w:rsidR="005B71E1" w:rsidRPr="005B71E1" w:rsidRDefault="005B71E1" w:rsidP="005B71E1">
      <w:pPr>
        <w:rPr>
          <w:rFonts w:ascii="Times New Roman" w:hAnsi="Times New Roman" w:cs="Times New Roman"/>
          <w:sz w:val="24"/>
          <w:szCs w:val="24"/>
        </w:rPr>
      </w:pPr>
    </w:p>
    <w:p w14:paraId="21124C6F"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El Ministerio Público Fiscal sostuvo que DIA ARGENTINA S.A. se valió de figuras contractuales de franquicia, concesión y consignación para interponer a terceros y ocultar la verdadera relación de dependencia laboral que mantenía, no solo con el personal que prestaba servicios en los locales, sino también con los propios franquiciados. Encuadró los hechos como evasión agravada de los recursos de la seguridad social.</w:t>
      </w:r>
    </w:p>
    <w:p w14:paraId="560B1504" w14:textId="77777777" w:rsidR="005B71E1" w:rsidRPr="005B71E1" w:rsidRDefault="005B71E1" w:rsidP="005B71E1">
      <w:pPr>
        <w:rPr>
          <w:rFonts w:ascii="Times New Roman" w:hAnsi="Times New Roman" w:cs="Times New Roman"/>
          <w:sz w:val="24"/>
          <w:szCs w:val="24"/>
        </w:rPr>
      </w:pPr>
    </w:p>
    <w:p w14:paraId="02321A5E"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Fundamentó su postura en el análisis de intervenciones telefónicas y correos electrónicos que demostraban que DIA seleccionaba, capacitaba, reubicaba y decidía los despidos del personal. Destacó la rotación sistemática de 2.267 empleados entre distintos franquiciados como prueba empírica de que la dependencia era directa con la compañía. Señaló que las condiciones exigidas operativamente no se condecían con la asunción de un verdadero riesgo empresarial, ya que no se requería inversión inicial significativa pero sí pagarés en blanco y garantías, y que los “socios estratégicos” reclutados carecían de experiencia y perfil socioeconómico compatible con la envergadura del emprendimiento.</w:t>
      </w:r>
    </w:p>
    <w:p w14:paraId="572A2871" w14:textId="77777777" w:rsidR="005B71E1" w:rsidRPr="005B71E1" w:rsidRDefault="005B71E1" w:rsidP="005B71E1">
      <w:pPr>
        <w:rPr>
          <w:rFonts w:ascii="Times New Roman" w:hAnsi="Times New Roman" w:cs="Times New Roman"/>
          <w:sz w:val="24"/>
          <w:szCs w:val="24"/>
        </w:rPr>
      </w:pPr>
    </w:p>
    <w:p w14:paraId="075E5BE9"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B. Postura de la Querella (ARCA, ex AFIP)</w:t>
      </w:r>
    </w:p>
    <w:p w14:paraId="49F8B07E" w14:textId="77777777" w:rsidR="005B71E1" w:rsidRPr="005B71E1" w:rsidRDefault="005B71E1" w:rsidP="005B71E1">
      <w:pPr>
        <w:rPr>
          <w:rFonts w:ascii="Times New Roman" w:hAnsi="Times New Roman" w:cs="Times New Roman"/>
          <w:sz w:val="24"/>
          <w:szCs w:val="24"/>
        </w:rPr>
      </w:pPr>
    </w:p>
    <w:p w14:paraId="6497AA1D"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La querella coincidió con la fiscalía en que DIA implementó una estructura de “simulacro” de franquicias para ocultar relaciones laborales de dependencia, constituyendo un ardid orientado a la evasión de aportes y contribuciones a la seguridad social. Adicionalmente, señaló que la empresa se benefició ilegalmente al aplicar una alícuota de contribuciones patronales reducida del 17%, cuando por su envergadura le correspondía tributar el 21%.</w:t>
      </w:r>
    </w:p>
    <w:p w14:paraId="2965FA4C" w14:textId="77777777" w:rsidR="005B71E1" w:rsidRPr="005B71E1" w:rsidRDefault="005B71E1" w:rsidP="005B71E1">
      <w:pPr>
        <w:rPr>
          <w:rFonts w:ascii="Times New Roman" w:hAnsi="Times New Roman" w:cs="Times New Roman"/>
          <w:sz w:val="24"/>
          <w:szCs w:val="24"/>
        </w:rPr>
      </w:pPr>
    </w:p>
    <w:p w14:paraId="483FEE54"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La querella destacó la subordinación jurídica, técnica y económica incompatible con la autonomía de una franquicia comercial: DIA seleccionaba y entrenaba tanto a </w:t>
      </w:r>
      <w:r w:rsidRPr="005B71E1">
        <w:rPr>
          <w:rFonts w:ascii="Times New Roman" w:hAnsi="Times New Roman" w:cs="Times New Roman"/>
          <w:sz w:val="24"/>
          <w:szCs w:val="24"/>
        </w:rPr>
        <w:lastRenderedPageBreak/>
        <w:t>franquiciados como al personal de tiendas, disponía unilateralmente traslados y despidos, y los franquiciados carecían de control sobre los ingresos. Calificó a los franquiciados como meros “jefes de tienda” jerarquizados bajo apariencia de comerciantes autónomos.</w:t>
      </w:r>
    </w:p>
    <w:p w14:paraId="57A6F99C" w14:textId="77777777" w:rsidR="005B71E1" w:rsidRPr="005B71E1" w:rsidRDefault="005B71E1" w:rsidP="005B71E1">
      <w:pPr>
        <w:rPr>
          <w:rFonts w:ascii="Times New Roman" w:hAnsi="Times New Roman" w:cs="Times New Roman"/>
          <w:sz w:val="24"/>
          <w:szCs w:val="24"/>
        </w:rPr>
      </w:pPr>
    </w:p>
    <w:p w14:paraId="3BC2C17F"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C. Postura de la Defensa</w:t>
      </w:r>
    </w:p>
    <w:p w14:paraId="3985E739" w14:textId="77777777" w:rsidR="005B71E1" w:rsidRPr="005B71E1" w:rsidRDefault="005B71E1" w:rsidP="005B71E1">
      <w:pPr>
        <w:rPr>
          <w:rFonts w:ascii="Times New Roman" w:hAnsi="Times New Roman" w:cs="Times New Roman"/>
          <w:sz w:val="24"/>
          <w:szCs w:val="24"/>
        </w:rPr>
      </w:pPr>
    </w:p>
    <w:p w14:paraId="6104577D"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La defensa técnica de DIA ARGENTINA S.A. rechazó categóricamente la hipótesis acusatoria y solicitó el sobreseimiento por inexistencia de delito, o subsidiariamente la falta de mérito. Sus argumentos centrales fueron:</w:t>
      </w:r>
    </w:p>
    <w:p w14:paraId="7E9D31D2" w14:textId="77777777" w:rsidR="005B71E1" w:rsidRPr="005B71E1" w:rsidRDefault="005B71E1" w:rsidP="005B71E1">
      <w:pPr>
        <w:rPr>
          <w:rFonts w:ascii="Times New Roman" w:hAnsi="Times New Roman" w:cs="Times New Roman"/>
          <w:sz w:val="24"/>
          <w:szCs w:val="24"/>
        </w:rPr>
      </w:pPr>
    </w:p>
    <w:p w14:paraId="6F8D3634"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Licitud del modelo: Sostuvo que la compañía utilizaba un esquema de comercialización lícito, habitual y amparado por el principio de libertad de formas y el Código Civil y Comercial de la Nación. Los franquiciados operaban de manera independiente, asumían el riesgo económico de su actividad y eran quienes seleccionaban, contrataban y remuneraban a su propio personal.</w:t>
      </w:r>
    </w:p>
    <w:p w14:paraId="17655EE8" w14:textId="77777777" w:rsidR="005B71E1" w:rsidRPr="005B71E1" w:rsidRDefault="005B71E1" w:rsidP="005B71E1">
      <w:pPr>
        <w:rPr>
          <w:rFonts w:ascii="Times New Roman" w:hAnsi="Times New Roman" w:cs="Times New Roman"/>
          <w:sz w:val="24"/>
          <w:szCs w:val="24"/>
        </w:rPr>
      </w:pPr>
    </w:p>
    <w:p w14:paraId="26F6A10E"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Finalidad preventiva de los controles: Argumentó que las directivas y auditorías sobre el funcionamiento de las tiendas no implicaban subordinación jurídica ni dependencia, sino que tenían finalidad estrictamente preventiva para resguardar la imagen de la marca y evitar contingencias derivadas de la responsabilidad solidaria del artículo 30 de la LCT.</w:t>
      </w:r>
    </w:p>
    <w:p w14:paraId="5E8D6775" w14:textId="77777777" w:rsidR="005B71E1" w:rsidRPr="005B71E1" w:rsidRDefault="005B71E1" w:rsidP="005B71E1">
      <w:pPr>
        <w:rPr>
          <w:rFonts w:ascii="Times New Roman" w:hAnsi="Times New Roman" w:cs="Times New Roman"/>
          <w:sz w:val="24"/>
          <w:szCs w:val="24"/>
        </w:rPr>
      </w:pPr>
    </w:p>
    <w:p w14:paraId="71C6D761"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Impugnación metodológica: Cuestionó el cálculo de la deuda por considerarlo improcedente e inexacto, basado en una proyección injustificada de apenas once sentencias laborales desfavorables hacia un universo de más de novecientas franquicias. También señaló el absurdo de incluir en el ajuste aportes de empleados de franquicias sobre las cuales recayeron sentencias favorables a DIA.</w:t>
      </w:r>
    </w:p>
    <w:p w14:paraId="7441A94F" w14:textId="77777777" w:rsidR="005B71E1" w:rsidRPr="005B71E1" w:rsidRDefault="005B71E1" w:rsidP="005B71E1">
      <w:pPr>
        <w:rPr>
          <w:rFonts w:ascii="Times New Roman" w:hAnsi="Times New Roman" w:cs="Times New Roman"/>
          <w:sz w:val="24"/>
          <w:szCs w:val="24"/>
        </w:rPr>
      </w:pPr>
    </w:p>
    <w:p w14:paraId="16092C52"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Jurisprudencia favorable: Aportó antecedentes de la Justicia del Trabajo donde se rechazaron demandas de empleados y franquiciados, se confirmó la naturaleza mercantil del vínculo, y resoluciones del Ministerio de Trabajo que eximieron a la empresa de sanciones por empleo no registrado. También presentó un reporte de auditoría de Bureau Veritas certificando la calidad del sistema de franquicias.</w:t>
      </w:r>
    </w:p>
    <w:p w14:paraId="78F5F990" w14:textId="77777777" w:rsidR="005B71E1" w:rsidRPr="005B71E1" w:rsidRDefault="005B71E1" w:rsidP="005B71E1">
      <w:pPr>
        <w:rPr>
          <w:rFonts w:ascii="Times New Roman" w:hAnsi="Times New Roman" w:cs="Times New Roman"/>
          <w:sz w:val="24"/>
          <w:szCs w:val="24"/>
        </w:rPr>
      </w:pPr>
    </w:p>
    <w:p w14:paraId="0F73F6DC"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Ausencia de dolo: Concluyó que no existió ardid, engaño ni ocultamiento, ya que la compañía operó con absoluta transparencia frente al fisco. Encuadró la operatoria como “economía de opción” y argumentó que el esquema carecía de lógica económica para </w:t>
      </w:r>
      <w:r w:rsidRPr="005B71E1">
        <w:rPr>
          <w:rFonts w:ascii="Times New Roman" w:hAnsi="Times New Roman" w:cs="Times New Roman"/>
          <w:sz w:val="24"/>
          <w:szCs w:val="24"/>
        </w:rPr>
        <w:lastRenderedPageBreak/>
        <w:t>defraudar, dado que las comisiones abonadas a los franquiciados resultaban superiores a las cargas laborales que hubieran correspondido de existir dependencia directa.</w:t>
      </w:r>
    </w:p>
    <w:p w14:paraId="6ED21EF9" w14:textId="77777777" w:rsidR="005B71E1" w:rsidRPr="005B71E1" w:rsidRDefault="005B71E1" w:rsidP="005B71E1">
      <w:pPr>
        <w:rPr>
          <w:rFonts w:ascii="Times New Roman" w:hAnsi="Times New Roman" w:cs="Times New Roman"/>
          <w:sz w:val="24"/>
          <w:szCs w:val="24"/>
        </w:rPr>
      </w:pPr>
    </w:p>
    <w:p w14:paraId="0DFB3A7C"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Solicitud probatoria: Requirió la producción de una amplia pericia contable sobre los libros de la compañía y la citación testimonial de más de veinte ex franquiciados.</w:t>
      </w:r>
    </w:p>
    <w:p w14:paraId="79FF5C9E" w14:textId="77777777" w:rsidR="005B71E1" w:rsidRPr="005B71E1" w:rsidRDefault="005B71E1" w:rsidP="005B71E1">
      <w:pPr>
        <w:rPr>
          <w:rFonts w:ascii="Times New Roman" w:hAnsi="Times New Roman" w:cs="Times New Roman"/>
          <w:sz w:val="24"/>
          <w:szCs w:val="24"/>
        </w:rPr>
      </w:pPr>
    </w:p>
    <w:p w14:paraId="549114BB"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IV. POSICIÓN DEL JUEZ Y RESOLUCIÓN</w:t>
      </w:r>
    </w:p>
    <w:p w14:paraId="5CD5232C" w14:textId="77777777" w:rsidR="005B71E1" w:rsidRPr="005B71E1" w:rsidRDefault="005B71E1" w:rsidP="005B71E1">
      <w:pPr>
        <w:rPr>
          <w:rFonts w:ascii="Times New Roman" w:hAnsi="Times New Roman" w:cs="Times New Roman"/>
          <w:sz w:val="24"/>
          <w:szCs w:val="24"/>
        </w:rPr>
      </w:pPr>
    </w:p>
    <w:p w14:paraId="77B335A2"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El juez a cargo del Juzgado Nacional en lo Penal Económico </w:t>
      </w:r>
      <w:proofErr w:type="spellStart"/>
      <w:r w:rsidRPr="005B71E1">
        <w:rPr>
          <w:rFonts w:ascii="Times New Roman" w:hAnsi="Times New Roman" w:cs="Times New Roman"/>
          <w:sz w:val="24"/>
          <w:szCs w:val="24"/>
        </w:rPr>
        <w:t>N°</w:t>
      </w:r>
      <w:proofErr w:type="spellEnd"/>
      <w:r w:rsidRPr="005B71E1">
        <w:rPr>
          <w:rFonts w:ascii="Times New Roman" w:hAnsi="Times New Roman" w:cs="Times New Roman"/>
          <w:sz w:val="24"/>
          <w:szCs w:val="24"/>
        </w:rPr>
        <w:t xml:space="preserve"> 2 (resolución unipersonal) adoptó una posición contundente en favor de la tesis acusatoria y dictó el procesamiento de DIA ARGENTINA S.A.</w:t>
      </w:r>
    </w:p>
    <w:p w14:paraId="311D8236" w14:textId="77777777" w:rsidR="005B71E1" w:rsidRPr="005B71E1" w:rsidRDefault="005B71E1" w:rsidP="005B71E1">
      <w:pPr>
        <w:rPr>
          <w:rFonts w:ascii="Times New Roman" w:hAnsi="Times New Roman" w:cs="Times New Roman"/>
          <w:sz w:val="24"/>
          <w:szCs w:val="24"/>
        </w:rPr>
      </w:pPr>
    </w:p>
    <w:p w14:paraId="54191CEB"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Sobre la materialidad de los hechos, el juez concluyó que se encontraba acreditado con el alcance exigido para la etapa de procesamiento que DIA omitió la registración de los trabajadores que figuraban formalmente como franquiciados y empleados inscriptos bajo su dependencia, utilizando abusivamente la figura del contrato de franquicia comercial (artículo 1512 del Código Civil y Comercial) como ardid para evadir el pago de aportes y contribuciones a la seguridad social. Consideró que los supuestos franquiciados operaban como meros interpósitos en los términos del artículo 29 de la LCT, siendo DIA el verdadero y único empleador.</w:t>
      </w:r>
    </w:p>
    <w:p w14:paraId="62775243" w14:textId="77777777" w:rsidR="005B71E1" w:rsidRPr="005B71E1" w:rsidRDefault="005B71E1" w:rsidP="005B71E1">
      <w:pPr>
        <w:rPr>
          <w:rFonts w:ascii="Times New Roman" w:hAnsi="Times New Roman" w:cs="Times New Roman"/>
          <w:sz w:val="24"/>
          <w:szCs w:val="24"/>
        </w:rPr>
      </w:pPr>
    </w:p>
    <w:p w14:paraId="169BCDF4"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Sobre el ardid, el juez identificó que operó en una doble dimensión: por un lado, permitió a la firma omitir el ingreso de aportes correspondientes a quienes eran declarados falsamente como titulares de franquicias; por otro, funcionó como mecanismo de interposición de personas, usando a estos falsos empresarios como escudo para colocar bajo su cabeza a todo el personal de los locales. Mediante esta fragmentación artificial de la nómina salarial, DIA ocultó su verdadera envergadura como empleador y obtuvo un beneficio fiscal ilícito al fragmentar sus dependientes bajo la CUIT de múltiples sujetos insolventes.</w:t>
      </w:r>
    </w:p>
    <w:p w14:paraId="7238B58C" w14:textId="77777777" w:rsidR="005B71E1" w:rsidRPr="005B71E1" w:rsidRDefault="005B71E1" w:rsidP="005B71E1">
      <w:pPr>
        <w:rPr>
          <w:rFonts w:ascii="Times New Roman" w:hAnsi="Times New Roman" w:cs="Times New Roman"/>
          <w:sz w:val="24"/>
          <w:szCs w:val="24"/>
        </w:rPr>
      </w:pPr>
    </w:p>
    <w:p w14:paraId="0499A6A3"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Sobre el descargo defensista, el juez lo rechazó punto por punto:</w:t>
      </w:r>
    </w:p>
    <w:p w14:paraId="159A688D" w14:textId="77777777" w:rsidR="005B71E1" w:rsidRPr="005B71E1" w:rsidRDefault="005B71E1" w:rsidP="005B71E1">
      <w:pPr>
        <w:rPr>
          <w:rFonts w:ascii="Times New Roman" w:hAnsi="Times New Roman" w:cs="Times New Roman"/>
          <w:sz w:val="24"/>
          <w:szCs w:val="24"/>
        </w:rPr>
      </w:pPr>
    </w:p>
    <w:p w14:paraId="5FA99893"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 xml:space="preserve">Consideró inviable sostener la independencia empresarial de los franquiciados ante la evidencia de que la inversión inicial era nula o ínfima y de que DIA debía asistirlos financieramente mediante “anticipos” para cubrir obligaciones básicas. Desechó el argumento de los controles como meramente preventivos, señalando que el área de Recursos Humanos de DIA no solo </w:t>
      </w:r>
      <w:proofErr w:type="gramStart"/>
      <w:r w:rsidRPr="005B71E1">
        <w:rPr>
          <w:rFonts w:ascii="Times New Roman" w:hAnsi="Times New Roman" w:cs="Times New Roman"/>
          <w:sz w:val="24"/>
          <w:szCs w:val="24"/>
        </w:rPr>
        <w:t>supervisaba</w:t>
      </w:r>
      <w:proofErr w:type="gramEnd"/>
      <w:r w:rsidRPr="005B71E1">
        <w:rPr>
          <w:rFonts w:ascii="Times New Roman" w:hAnsi="Times New Roman" w:cs="Times New Roman"/>
          <w:sz w:val="24"/>
          <w:szCs w:val="24"/>
        </w:rPr>
        <w:t xml:space="preserve"> sino que intervenía directamente en la selección, evaluación y despido del personal, lo que constituye una nota típica de subordinación. Rechazó la impugnación metodológica, señalando que el cálculo de la </w:t>
      </w:r>
      <w:r w:rsidRPr="005B71E1">
        <w:rPr>
          <w:rFonts w:ascii="Times New Roman" w:hAnsi="Times New Roman" w:cs="Times New Roman"/>
          <w:sz w:val="24"/>
          <w:szCs w:val="24"/>
        </w:rPr>
        <w:lastRenderedPageBreak/>
        <w:t>deuda no fue abstracto sino resultado de un procedimiento administrativo reglado con 34 testimoniales y cruzamiento exhaustivo de datos, siendo el hallazgo de 2.267 empleados rotando entre franquiciados una prueba objetiva e irrebatible de dependencia directa con DIA. Aclaró que la existencia de fallos laborales aislados favorables no obsta al procesamiento en sede penal, dado que la jurisdicción penal busca la verdad real y contó con prueba (escuchas, correos, testimoniales) que no estuvo disponible en aquellos procesos individuales. Finalmente, descartó la ausencia de dolo y beneficio económico, señalando que la mecánica misma de la maniobra demostró el ardid al permitirle atomizar su nómina y obtener un provecho tributario ilícito.</w:t>
      </w:r>
    </w:p>
    <w:p w14:paraId="084F37D1" w14:textId="77777777" w:rsidR="005B71E1" w:rsidRPr="005B71E1" w:rsidRDefault="005B71E1" w:rsidP="005B71E1">
      <w:pPr>
        <w:rPr>
          <w:rFonts w:ascii="Times New Roman" w:hAnsi="Times New Roman" w:cs="Times New Roman"/>
          <w:sz w:val="24"/>
          <w:szCs w:val="24"/>
        </w:rPr>
      </w:pPr>
    </w:p>
    <w:p w14:paraId="621CFC6E"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Sobre las medidas de prueba solicitadas por la defensa, el juez las rechazó por considerarlas diligencias meramente dilatorias, recordando que en la etapa de instrucción los jueces no están obligados a producir todas las medidas solicitadas, sino solo las pertinentes y útiles para el descubrimiento de la verdad.</w:t>
      </w:r>
    </w:p>
    <w:p w14:paraId="0D0CE7F3" w14:textId="77777777" w:rsidR="005B71E1" w:rsidRPr="005B71E1" w:rsidRDefault="005B71E1" w:rsidP="005B71E1">
      <w:pPr>
        <w:rPr>
          <w:rFonts w:ascii="Times New Roman" w:hAnsi="Times New Roman" w:cs="Times New Roman"/>
          <w:sz w:val="24"/>
          <w:szCs w:val="24"/>
        </w:rPr>
      </w:pPr>
    </w:p>
    <w:p w14:paraId="432AFC8A" w14:textId="77777777"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Calificación legal aplicada: Conforme al principio de ley penal más benigna y la Ley 27.799, el juez calificó las conductas como evasión previsional simple (artículo 5, períodos 3/2016 a 5/2016, 7/2016 a 11/2016 y 1/2017 a 5/2017, por sumas superiores a $ 7.000.000 mensuales) y evasión previsional agravada por interpósita persona (artículo 6 inciso b, períodos 12/2015, 6/2016, 12/2016 y 6/2017 a 12/2018, por sumas superiores a $ 14.000.000 mensuales), en concurso material entre sí (34 hechos).</w:t>
      </w:r>
    </w:p>
    <w:p w14:paraId="63271ADD" w14:textId="77777777" w:rsidR="005B71E1" w:rsidRPr="005B71E1" w:rsidRDefault="005B71E1" w:rsidP="005B71E1">
      <w:pPr>
        <w:rPr>
          <w:rFonts w:ascii="Times New Roman" w:hAnsi="Times New Roman" w:cs="Times New Roman"/>
          <w:sz w:val="24"/>
          <w:szCs w:val="24"/>
        </w:rPr>
      </w:pPr>
    </w:p>
    <w:p w14:paraId="16BEAC35" w14:textId="6E3E7D3A" w:rsidR="005B71E1" w:rsidRPr="005B71E1" w:rsidRDefault="005B71E1" w:rsidP="005B71E1">
      <w:pPr>
        <w:rPr>
          <w:rFonts w:ascii="Times New Roman" w:hAnsi="Times New Roman" w:cs="Times New Roman"/>
          <w:sz w:val="24"/>
          <w:szCs w:val="24"/>
        </w:rPr>
      </w:pPr>
      <w:r w:rsidRPr="005B71E1">
        <w:rPr>
          <w:rFonts w:ascii="Times New Roman" w:hAnsi="Times New Roman" w:cs="Times New Roman"/>
          <w:sz w:val="24"/>
          <w:szCs w:val="24"/>
        </w:rPr>
        <w:t>Parte dispositiva: El juez resolvió: (I) rechazar el sobreseimiento y las medidas de prueba solicitadas por la defensa; (II) decretar el procesamiento de DIA ARGENTINA S.A. conforme al artículo 13 del Régimen Penal Tributario (Ley 27.799); y (III) trabar embargo sobre el dinero o bienes de la firma hasta cubrir la suma de $ 800.000.000 (ochocientos millones de pesos), tomando en cuenta el monto del ajuste fiscal correspondiente a los períodos objeto del proceso ($ 579.173.127,25) y la posibilidad de aplicación de la multa prevista en el artículo 22 bis del Código Penal.</w:t>
      </w:r>
    </w:p>
    <w:sectPr w:rsidR="005B71E1" w:rsidRPr="005B71E1">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757B9"/>
    <w:multiLevelType w:val="multilevel"/>
    <w:tmpl w:val="27F42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E30974"/>
    <w:multiLevelType w:val="multilevel"/>
    <w:tmpl w:val="C6FC6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57D59"/>
    <w:multiLevelType w:val="multilevel"/>
    <w:tmpl w:val="3C70F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ED7230"/>
    <w:multiLevelType w:val="multilevel"/>
    <w:tmpl w:val="C1F44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1F6ED9"/>
    <w:multiLevelType w:val="multilevel"/>
    <w:tmpl w:val="9CF4C4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5B4741D"/>
    <w:multiLevelType w:val="multilevel"/>
    <w:tmpl w:val="8DD6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BF2A51"/>
    <w:multiLevelType w:val="multilevel"/>
    <w:tmpl w:val="27763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214383"/>
    <w:multiLevelType w:val="multilevel"/>
    <w:tmpl w:val="6054D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166AD7"/>
    <w:multiLevelType w:val="multilevel"/>
    <w:tmpl w:val="073A9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5F55AC"/>
    <w:multiLevelType w:val="multilevel"/>
    <w:tmpl w:val="FF109D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610B20"/>
    <w:multiLevelType w:val="multilevel"/>
    <w:tmpl w:val="F7A87A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E68688C"/>
    <w:multiLevelType w:val="multilevel"/>
    <w:tmpl w:val="FCEA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AC12C3"/>
    <w:multiLevelType w:val="multilevel"/>
    <w:tmpl w:val="D90AE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3A44D9"/>
    <w:multiLevelType w:val="multilevel"/>
    <w:tmpl w:val="DD98C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F6418F5"/>
    <w:multiLevelType w:val="multilevel"/>
    <w:tmpl w:val="37866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FBA77E1"/>
    <w:multiLevelType w:val="multilevel"/>
    <w:tmpl w:val="75E08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044348F"/>
    <w:multiLevelType w:val="multilevel"/>
    <w:tmpl w:val="3E36E9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203AB5"/>
    <w:multiLevelType w:val="multilevel"/>
    <w:tmpl w:val="05F0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20165B"/>
    <w:multiLevelType w:val="multilevel"/>
    <w:tmpl w:val="CE42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247654A"/>
    <w:multiLevelType w:val="multilevel"/>
    <w:tmpl w:val="1E065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2A6243B"/>
    <w:multiLevelType w:val="multilevel"/>
    <w:tmpl w:val="686093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4DF5209"/>
    <w:multiLevelType w:val="multilevel"/>
    <w:tmpl w:val="ADDE9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5F331D8"/>
    <w:multiLevelType w:val="multilevel"/>
    <w:tmpl w:val="E2A8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5F5066D"/>
    <w:multiLevelType w:val="multilevel"/>
    <w:tmpl w:val="73282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92F5623"/>
    <w:multiLevelType w:val="multilevel"/>
    <w:tmpl w:val="75C6B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9840D77"/>
    <w:multiLevelType w:val="multilevel"/>
    <w:tmpl w:val="5B52D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9D233A1"/>
    <w:multiLevelType w:val="multilevel"/>
    <w:tmpl w:val="C9B6E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1B0C4C47"/>
    <w:multiLevelType w:val="multilevel"/>
    <w:tmpl w:val="08E8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C4C3C13"/>
    <w:multiLevelType w:val="multilevel"/>
    <w:tmpl w:val="A438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D323C30"/>
    <w:multiLevelType w:val="multilevel"/>
    <w:tmpl w:val="8B907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1D353F99"/>
    <w:multiLevelType w:val="multilevel"/>
    <w:tmpl w:val="12222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E460EBC"/>
    <w:multiLevelType w:val="multilevel"/>
    <w:tmpl w:val="DE68C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EC6497A"/>
    <w:multiLevelType w:val="multilevel"/>
    <w:tmpl w:val="46E8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F8D2029"/>
    <w:multiLevelType w:val="multilevel"/>
    <w:tmpl w:val="163E9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0162A7F"/>
    <w:multiLevelType w:val="multilevel"/>
    <w:tmpl w:val="0C543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0B572A9"/>
    <w:multiLevelType w:val="multilevel"/>
    <w:tmpl w:val="1DA8F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15B5499"/>
    <w:multiLevelType w:val="multilevel"/>
    <w:tmpl w:val="9784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18C1FAB"/>
    <w:multiLevelType w:val="multilevel"/>
    <w:tmpl w:val="4364B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B83A7A"/>
    <w:multiLevelType w:val="multilevel"/>
    <w:tmpl w:val="1076E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232091A"/>
    <w:multiLevelType w:val="multilevel"/>
    <w:tmpl w:val="C478D4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3331481"/>
    <w:multiLevelType w:val="multilevel"/>
    <w:tmpl w:val="7CE4D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3BB77EE"/>
    <w:multiLevelType w:val="multilevel"/>
    <w:tmpl w:val="5CCC9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6747B52"/>
    <w:multiLevelType w:val="multilevel"/>
    <w:tmpl w:val="9B6E6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7D4407"/>
    <w:multiLevelType w:val="multilevel"/>
    <w:tmpl w:val="24D8EB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6DC0E67"/>
    <w:multiLevelType w:val="multilevel"/>
    <w:tmpl w:val="629C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27EC4E4C"/>
    <w:multiLevelType w:val="multilevel"/>
    <w:tmpl w:val="11960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7FA5ADC"/>
    <w:multiLevelType w:val="multilevel"/>
    <w:tmpl w:val="CD92F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BE23E0A"/>
    <w:multiLevelType w:val="multilevel"/>
    <w:tmpl w:val="6E3A2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CA501F6"/>
    <w:multiLevelType w:val="multilevel"/>
    <w:tmpl w:val="D8F83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D001493"/>
    <w:multiLevelType w:val="multilevel"/>
    <w:tmpl w:val="DA70B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6D17E9"/>
    <w:multiLevelType w:val="multilevel"/>
    <w:tmpl w:val="FFD2E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2F6D1B11"/>
    <w:multiLevelType w:val="multilevel"/>
    <w:tmpl w:val="19DED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1A0483"/>
    <w:multiLevelType w:val="multilevel"/>
    <w:tmpl w:val="9334D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06972D0"/>
    <w:multiLevelType w:val="multilevel"/>
    <w:tmpl w:val="D4382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071169A"/>
    <w:multiLevelType w:val="multilevel"/>
    <w:tmpl w:val="6AEEA5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3119488A"/>
    <w:multiLevelType w:val="multilevel"/>
    <w:tmpl w:val="2ECC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2605367"/>
    <w:multiLevelType w:val="multilevel"/>
    <w:tmpl w:val="ACDAB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5AB2765"/>
    <w:multiLevelType w:val="multilevel"/>
    <w:tmpl w:val="F8C44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610404E"/>
    <w:multiLevelType w:val="multilevel"/>
    <w:tmpl w:val="5750F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69D62B3"/>
    <w:multiLevelType w:val="multilevel"/>
    <w:tmpl w:val="4D8C6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7DC3BD0"/>
    <w:multiLevelType w:val="multilevel"/>
    <w:tmpl w:val="A4F26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CC0A42"/>
    <w:multiLevelType w:val="multilevel"/>
    <w:tmpl w:val="92F67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4A768F"/>
    <w:multiLevelType w:val="multilevel"/>
    <w:tmpl w:val="2D14E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C8330EA"/>
    <w:multiLevelType w:val="multilevel"/>
    <w:tmpl w:val="69F8B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E5633FF"/>
    <w:multiLevelType w:val="multilevel"/>
    <w:tmpl w:val="1954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EB019FA"/>
    <w:multiLevelType w:val="multilevel"/>
    <w:tmpl w:val="5F769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3F090521"/>
    <w:multiLevelType w:val="multilevel"/>
    <w:tmpl w:val="F86AC1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FC93FC2"/>
    <w:multiLevelType w:val="multilevel"/>
    <w:tmpl w:val="52FCF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0425346"/>
    <w:multiLevelType w:val="multilevel"/>
    <w:tmpl w:val="E1285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0A81DB0"/>
    <w:multiLevelType w:val="multilevel"/>
    <w:tmpl w:val="3D54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0CF1349"/>
    <w:multiLevelType w:val="multilevel"/>
    <w:tmpl w:val="12246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40FA7350"/>
    <w:multiLevelType w:val="multilevel"/>
    <w:tmpl w:val="0CD25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41953829"/>
    <w:multiLevelType w:val="multilevel"/>
    <w:tmpl w:val="77A4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42672CB6"/>
    <w:multiLevelType w:val="multilevel"/>
    <w:tmpl w:val="1A2C8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40422A1"/>
    <w:multiLevelType w:val="multilevel"/>
    <w:tmpl w:val="507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44C50D4A"/>
    <w:multiLevelType w:val="multilevel"/>
    <w:tmpl w:val="0F14D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44D140F9"/>
    <w:multiLevelType w:val="multilevel"/>
    <w:tmpl w:val="AE6AA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69D36D4"/>
    <w:multiLevelType w:val="multilevel"/>
    <w:tmpl w:val="53A69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86871D6"/>
    <w:multiLevelType w:val="multilevel"/>
    <w:tmpl w:val="D8EC6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8A076BB"/>
    <w:multiLevelType w:val="multilevel"/>
    <w:tmpl w:val="8DB02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49EB0D06"/>
    <w:multiLevelType w:val="multilevel"/>
    <w:tmpl w:val="95F42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B0666CE"/>
    <w:multiLevelType w:val="multilevel"/>
    <w:tmpl w:val="8EB8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CF816A4"/>
    <w:multiLevelType w:val="multilevel"/>
    <w:tmpl w:val="82D00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F9E3606"/>
    <w:multiLevelType w:val="multilevel"/>
    <w:tmpl w:val="7382BB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7731A4"/>
    <w:multiLevelType w:val="multilevel"/>
    <w:tmpl w:val="1BF62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51766600"/>
    <w:multiLevelType w:val="multilevel"/>
    <w:tmpl w:val="B3484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52194BB6"/>
    <w:multiLevelType w:val="multilevel"/>
    <w:tmpl w:val="90186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21F2B8D"/>
    <w:multiLevelType w:val="multilevel"/>
    <w:tmpl w:val="FE40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2695D0A"/>
    <w:multiLevelType w:val="multilevel"/>
    <w:tmpl w:val="3BDA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2F424D9"/>
    <w:multiLevelType w:val="multilevel"/>
    <w:tmpl w:val="B2120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41915DD"/>
    <w:multiLevelType w:val="multilevel"/>
    <w:tmpl w:val="F1608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41D2217"/>
    <w:multiLevelType w:val="multilevel"/>
    <w:tmpl w:val="E6F29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568B5966"/>
    <w:multiLevelType w:val="multilevel"/>
    <w:tmpl w:val="E54071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577E43A2"/>
    <w:multiLevelType w:val="multilevel"/>
    <w:tmpl w:val="BC302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7D42624"/>
    <w:multiLevelType w:val="multilevel"/>
    <w:tmpl w:val="E8D24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B2F6CBC"/>
    <w:multiLevelType w:val="multilevel"/>
    <w:tmpl w:val="7DF6B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5BF225F1"/>
    <w:multiLevelType w:val="multilevel"/>
    <w:tmpl w:val="B4A6E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C1441F6"/>
    <w:multiLevelType w:val="multilevel"/>
    <w:tmpl w:val="8FA2E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CB605CB"/>
    <w:multiLevelType w:val="multilevel"/>
    <w:tmpl w:val="C262A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D1A0348"/>
    <w:multiLevelType w:val="multilevel"/>
    <w:tmpl w:val="0CEE6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D374858"/>
    <w:multiLevelType w:val="multilevel"/>
    <w:tmpl w:val="57560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D765362"/>
    <w:multiLevelType w:val="multilevel"/>
    <w:tmpl w:val="290E5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615C6054"/>
    <w:multiLevelType w:val="multilevel"/>
    <w:tmpl w:val="97704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61E30EB6"/>
    <w:multiLevelType w:val="multilevel"/>
    <w:tmpl w:val="2D709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620649EC"/>
    <w:multiLevelType w:val="multilevel"/>
    <w:tmpl w:val="437C7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63B27E94"/>
    <w:multiLevelType w:val="multilevel"/>
    <w:tmpl w:val="74F4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3F31E57"/>
    <w:multiLevelType w:val="multilevel"/>
    <w:tmpl w:val="61324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651F1BD1"/>
    <w:multiLevelType w:val="multilevel"/>
    <w:tmpl w:val="B1769C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15:restartNumberingAfterBreak="0">
    <w:nsid w:val="65C047C0"/>
    <w:multiLevelType w:val="multilevel"/>
    <w:tmpl w:val="B6C64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5FE0DEB"/>
    <w:multiLevelType w:val="multilevel"/>
    <w:tmpl w:val="38CAE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6F9279B"/>
    <w:multiLevelType w:val="multilevel"/>
    <w:tmpl w:val="1A78EB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7917CE3"/>
    <w:multiLevelType w:val="multilevel"/>
    <w:tmpl w:val="CC6C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88B6D82"/>
    <w:multiLevelType w:val="multilevel"/>
    <w:tmpl w:val="A43E5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9000512"/>
    <w:multiLevelType w:val="multilevel"/>
    <w:tmpl w:val="53C41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915097C"/>
    <w:multiLevelType w:val="multilevel"/>
    <w:tmpl w:val="03902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9B212AB"/>
    <w:multiLevelType w:val="multilevel"/>
    <w:tmpl w:val="9FAAB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ADA7D33"/>
    <w:multiLevelType w:val="multilevel"/>
    <w:tmpl w:val="B7166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B014582"/>
    <w:multiLevelType w:val="multilevel"/>
    <w:tmpl w:val="820A1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C5A10A5"/>
    <w:multiLevelType w:val="multilevel"/>
    <w:tmpl w:val="9F6ECF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F351083"/>
    <w:multiLevelType w:val="multilevel"/>
    <w:tmpl w:val="51F0C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70703E09"/>
    <w:multiLevelType w:val="multilevel"/>
    <w:tmpl w:val="62BE9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734320D7"/>
    <w:multiLevelType w:val="multilevel"/>
    <w:tmpl w:val="19203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735B454E"/>
    <w:multiLevelType w:val="multilevel"/>
    <w:tmpl w:val="2CAE88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73721AAE"/>
    <w:multiLevelType w:val="multilevel"/>
    <w:tmpl w:val="9370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74CE4F33"/>
    <w:multiLevelType w:val="multilevel"/>
    <w:tmpl w:val="32507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75267E6C"/>
    <w:multiLevelType w:val="multilevel"/>
    <w:tmpl w:val="A8B6B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565669B"/>
    <w:multiLevelType w:val="multilevel"/>
    <w:tmpl w:val="0E3EC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571481A"/>
    <w:multiLevelType w:val="multilevel"/>
    <w:tmpl w:val="AED83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78AC37D8"/>
    <w:multiLevelType w:val="multilevel"/>
    <w:tmpl w:val="4D96D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78C855EF"/>
    <w:multiLevelType w:val="multilevel"/>
    <w:tmpl w:val="ED78A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79684FA9"/>
    <w:multiLevelType w:val="multilevel"/>
    <w:tmpl w:val="91CCD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B041721"/>
    <w:multiLevelType w:val="multilevel"/>
    <w:tmpl w:val="00645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D1B5B2F"/>
    <w:multiLevelType w:val="multilevel"/>
    <w:tmpl w:val="DE76D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F430D37"/>
    <w:multiLevelType w:val="multilevel"/>
    <w:tmpl w:val="3B42C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9"/>
  </w:num>
  <w:num w:numId="2">
    <w:abstractNumId w:val="131"/>
  </w:num>
  <w:num w:numId="3">
    <w:abstractNumId w:val="122"/>
  </w:num>
  <w:num w:numId="4">
    <w:abstractNumId w:val="132"/>
  </w:num>
  <w:num w:numId="5">
    <w:abstractNumId w:val="17"/>
  </w:num>
  <w:num w:numId="6">
    <w:abstractNumId w:val="101"/>
  </w:num>
  <w:num w:numId="7">
    <w:abstractNumId w:val="44"/>
  </w:num>
  <w:num w:numId="8">
    <w:abstractNumId w:val="93"/>
  </w:num>
  <w:num w:numId="9">
    <w:abstractNumId w:val="40"/>
  </w:num>
  <w:num w:numId="10">
    <w:abstractNumId w:val="50"/>
  </w:num>
  <w:num w:numId="11">
    <w:abstractNumId w:val="88"/>
  </w:num>
  <w:num w:numId="12">
    <w:abstractNumId w:val="112"/>
  </w:num>
  <w:num w:numId="13">
    <w:abstractNumId w:val="25"/>
  </w:num>
  <w:num w:numId="14">
    <w:abstractNumId w:val="9"/>
  </w:num>
  <w:num w:numId="15">
    <w:abstractNumId w:val="105"/>
  </w:num>
  <w:num w:numId="16">
    <w:abstractNumId w:val="117"/>
  </w:num>
  <w:num w:numId="17">
    <w:abstractNumId w:val="60"/>
  </w:num>
  <w:num w:numId="18">
    <w:abstractNumId w:val="77"/>
  </w:num>
  <w:num w:numId="19">
    <w:abstractNumId w:val="42"/>
  </w:num>
  <w:num w:numId="20">
    <w:abstractNumId w:val="89"/>
  </w:num>
  <w:num w:numId="21">
    <w:abstractNumId w:val="57"/>
  </w:num>
  <w:num w:numId="22">
    <w:abstractNumId w:val="61"/>
  </w:num>
  <w:num w:numId="23">
    <w:abstractNumId w:val="29"/>
  </w:num>
  <w:num w:numId="24">
    <w:abstractNumId w:val="87"/>
  </w:num>
  <w:num w:numId="25">
    <w:abstractNumId w:val="55"/>
  </w:num>
  <w:num w:numId="26">
    <w:abstractNumId w:val="65"/>
  </w:num>
  <w:num w:numId="27">
    <w:abstractNumId w:val="90"/>
  </w:num>
  <w:num w:numId="28">
    <w:abstractNumId w:val="128"/>
  </w:num>
  <w:num w:numId="29">
    <w:abstractNumId w:val="103"/>
  </w:num>
  <w:num w:numId="30">
    <w:abstractNumId w:val="45"/>
  </w:num>
  <w:num w:numId="31">
    <w:abstractNumId w:val="41"/>
  </w:num>
  <w:num w:numId="32">
    <w:abstractNumId w:val="82"/>
  </w:num>
  <w:num w:numId="33">
    <w:abstractNumId w:val="84"/>
  </w:num>
  <w:num w:numId="34">
    <w:abstractNumId w:val="69"/>
  </w:num>
  <w:num w:numId="35">
    <w:abstractNumId w:val="48"/>
  </w:num>
  <w:num w:numId="36">
    <w:abstractNumId w:val="71"/>
  </w:num>
  <w:num w:numId="37">
    <w:abstractNumId w:val="37"/>
  </w:num>
  <w:num w:numId="38">
    <w:abstractNumId w:val="64"/>
  </w:num>
  <w:num w:numId="39">
    <w:abstractNumId w:val="46"/>
  </w:num>
  <w:num w:numId="40">
    <w:abstractNumId w:val="38"/>
  </w:num>
  <w:num w:numId="41">
    <w:abstractNumId w:val="18"/>
  </w:num>
  <w:num w:numId="42">
    <w:abstractNumId w:val="27"/>
  </w:num>
  <w:num w:numId="43">
    <w:abstractNumId w:val="125"/>
  </w:num>
  <w:num w:numId="44">
    <w:abstractNumId w:val="53"/>
  </w:num>
  <w:num w:numId="45">
    <w:abstractNumId w:val="73"/>
  </w:num>
  <w:num w:numId="46">
    <w:abstractNumId w:val="22"/>
  </w:num>
  <w:num w:numId="47">
    <w:abstractNumId w:val="70"/>
  </w:num>
  <w:num w:numId="48">
    <w:abstractNumId w:val="85"/>
  </w:num>
  <w:num w:numId="49">
    <w:abstractNumId w:val="24"/>
  </w:num>
  <w:num w:numId="50">
    <w:abstractNumId w:val="33"/>
  </w:num>
  <w:num w:numId="51">
    <w:abstractNumId w:val="12"/>
  </w:num>
  <w:num w:numId="52">
    <w:abstractNumId w:val="127"/>
  </w:num>
  <w:num w:numId="53">
    <w:abstractNumId w:val="36"/>
  </w:num>
  <w:num w:numId="54">
    <w:abstractNumId w:val="109"/>
  </w:num>
  <w:num w:numId="55">
    <w:abstractNumId w:val="16"/>
  </w:num>
  <w:num w:numId="56">
    <w:abstractNumId w:val="5"/>
  </w:num>
  <w:num w:numId="57">
    <w:abstractNumId w:val="96"/>
  </w:num>
  <w:num w:numId="58">
    <w:abstractNumId w:val="86"/>
  </w:num>
  <w:num w:numId="59">
    <w:abstractNumId w:val="10"/>
  </w:num>
  <w:num w:numId="60">
    <w:abstractNumId w:val="23"/>
  </w:num>
  <w:num w:numId="61">
    <w:abstractNumId w:val="2"/>
  </w:num>
  <w:num w:numId="62">
    <w:abstractNumId w:val="7"/>
  </w:num>
  <w:num w:numId="63">
    <w:abstractNumId w:val="115"/>
  </w:num>
  <w:num w:numId="64">
    <w:abstractNumId w:val="104"/>
  </w:num>
  <w:num w:numId="65">
    <w:abstractNumId w:val="106"/>
  </w:num>
  <w:num w:numId="66">
    <w:abstractNumId w:val="72"/>
  </w:num>
  <w:num w:numId="67">
    <w:abstractNumId w:val="62"/>
  </w:num>
  <w:num w:numId="68">
    <w:abstractNumId w:val="124"/>
  </w:num>
  <w:num w:numId="69">
    <w:abstractNumId w:val="97"/>
  </w:num>
  <w:num w:numId="70">
    <w:abstractNumId w:val="68"/>
  </w:num>
  <w:num w:numId="71">
    <w:abstractNumId w:val="58"/>
  </w:num>
  <w:num w:numId="72">
    <w:abstractNumId w:val="1"/>
  </w:num>
  <w:num w:numId="73">
    <w:abstractNumId w:val="95"/>
  </w:num>
  <w:num w:numId="74">
    <w:abstractNumId w:val="100"/>
  </w:num>
  <w:num w:numId="75">
    <w:abstractNumId w:val="4"/>
  </w:num>
  <w:num w:numId="76">
    <w:abstractNumId w:val="78"/>
  </w:num>
  <w:num w:numId="77">
    <w:abstractNumId w:val="94"/>
  </w:num>
  <w:num w:numId="78">
    <w:abstractNumId w:val="30"/>
  </w:num>
  <w:num w:numId="79">
    <w:abstractNumId w:val="79"/>
  </w:num>
  <w:num w:numId="80">
    <w:abstractNumId w:val="99"/>
  </w:num>
  <w:num w:numId="81">
    <w:abstractNumId w:val="129"/>
  </w:num>
  <w:num w:numId="82">
    <w:abstractNumId w:val="13"/>
  </w:num>
  <w:num w:numId="83">
    <w:abstractNumId w:val="80"/>
  </w:num>
  <w:num w:numId="84">
    <w:abstractNumId w:val="116"/>
  </w:num>
  <w:num w:numId="85">
    <w:abstractNumId w:val="83"/>
  </w:num>
  <w:num w:numId="86">
    <w:abstractNumId w:val="31"/>
  </w:num>
  <w:num w:numId="87">
    <w:abstractNumId w:val="32"/>
  </w:num>
  <w:num w:numId="88">
    <w:abstractNumId w:val="81"/>
  </w:num>
  <w:num w:numId="89">
    <w:abstractNumId w:val="108"/>
  </w:num>
  <w:num w:numId="90">
    <w:abstractNumId w:val="59"/>
  </w:num>
  <w:num w:numId="91">
    <w:abstractNumId w:val="111"/>
  </w:num>
  <w:num w:numId="92">
    <w:abstractNumId w:val="43"/>
  </w:num>
  <w:num w:numId="93">
    <w:abstractNumId w:val="133"/>
  </w:num>
  <w:num w:numId="94">
    <w:abstractNumId w:val="39"/>
  </w:num>
  <w:num w:numId="95">
    <w:abstractNumId w:val="110"/>
  </w:num>
  <w:num w:numId="96">
    <w:abstractNumId w:val="47"/>
  </w:num>
  <w:num w:numId="97">
    <w:abstractNumId w:val="123"/>
  </w:num>
  <w:num w:numId="98">
    <w:abstractNumId w:val="34"/>
  </w:num>
  <w:num w:numId="99">
    <w:abstractNumId w:val="113"/>
  </w:num>
  <w:num w:numId="100">
    <w:abstractNumId w:val="14"/>
  </w:num>
  <w:num w:numId="101">
    <w:abstractNumId w:val="51"/>
  </w:num>
  <w:num w:numId="102">
    <w:abstractNumId w:val="21"/>
  </w:num>
  <w:num w:numId="103">
    <w:abstractNumId w:val="74"/>
  </w:num>
  <w:num w:numId="104">
    <w:abstractNumId w:val="75"/>
  </w:num>
  <w:num w:numId="105">
    <w:abstractNumId w:val="54"/>
  </w:num>
  <w:num w:numId="106">
    <w:abstractNumId w:val="0"/>
  </w:num>
  <w:num w:numId="107">
    <w:abstractNumId w:val="6"/>
  </w:num>
  <w:num w:numId="108">
    <w:abstractNumId w:val="11"/>
  </w:num>
  <w:num w:numId="109">
    <w:abstractNumId w:val="8"/>
  </w:num>
  <w:num w:numId="110">
    <w:abstractNumId w:val="130"/>
  </w:num>
  <w:num w:numId="111">
    <w:abstractNumId w:val="3"/>
  </w:num>
  <w:num w:numId="112">
    <w:abstractNumId w:val="114"/>
  </w:num>
  <w:num w:numId="113">
    <w:abstractNumId w:val="91"/>
  </w:num>
  <w:num w:numId="114">
    <w:abstractNumId w:val="119"/>
  </w:num>
  <w:num w:numId="115">
    <w:abstractNumId w:val="121"/>
  </w:num>
  <w:num w:numId="116">
    <w:abstractNumId w:val="20"/>
  </w:num>
  <w:num w:numId="117">
    <w:abstractNumId w:val="98"/>
  </w:num>
  <w:num w:numId="118">
    <w:abstractNumId w:val="126"/>
  </w:num>
  <w:num w:numId="119">
    <w:abstractNumId w:val="120"/>
  </w:num>
  <w:num w:numId="120">
    <w:abstractNumId w:val="102"/>
  </w:num>
  <w:num w:numId="121">
    <w:abstractNumId w:val="52"/>
  </w:num>
  <w:num w:numId="122">
    <w:abstractNumId w:val="66"/>
  </w:num>
  <w:num w:numId="123">
    <w:abstractNumId w:val="28"/>
  </w:num>
  <w:num w:numId="124">
    <w:abstractNumId w:val="63"/>
  </w:num>
  <w:num w:numId="125">
    <w:abstractNumId w:val="107"/>
  </w:num>
  <w:num w:numId="126">
    <w:abstractNumId w:val="76"/>
  </w:num>
  <w:num w:numId="127">
    <w:abstractNumId w:val="35"/>
  </w:num>
  <w:num w:numId="128">
    <w:abstractNumId w:val="67"/>
  </w:num>
  <w:num w:numId="129">
    <w:abstractNumId w:val="92"/>
  </w:num>
  <w:num w:numId="130">
    <w:abstractNumId w:val="26"/>
  </w:num>
  <w:num w:numId="131">
    <w:abstractNumId w:val="118"/>
  </w:num>
  <w:num w:numId="132">
    <w:abstractNumId w:val="56"/>
  </w:num>
  <w:num w:numId="133">
    <w:abstractNumId w:val="19"/>
  </w:num>
  <w:num w:numId="134">
    <w:abstractNumId w:val="15"/>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5F2"/>
    <w:rsid w:val="00011ECE"/>
    <w:rsid w:val="000B24B4"/>
    <w:rsid w:val="00131AD5"/>
    <w:rsid w:val="001457CF"/>
    <w:rsid w:val="001E406D"/>
    <w:rsid w:val="00214965"/>
    <w:rsid w:val="002A228C"/>
    <w:rsid w:val="0035233F"/>
    <w:rsid w:val="00371EFA"/>
    <w:rsid w:val="00394A81"/>
    <w:rsid w:val="004008F7"/>
    <w:rsid w:val="00421ADD"/>
    <w:rsid w:val="00454564"/>
    <w:rsid w:val="0047685F"/>
    <w:rsid w:val="004A1FDE"/>
    <w:rsid w:val="00546086"/>
    <w:rsid w:val="005B71E1"/>
    <w:rsid w:val="006558C1"/>
    <w:rsid w:val="00680BBF"/>
    <w:rsid w:val="006B30F8"/>
    <w:rsid w:val="00741DAA"/>
    <w:rsid w:val="007D2F8E"/>
    <w:rsid w:val="00834AC2"/>
    <w:rsid w:val="00842F7F"/>
    <w:rsid w:val="008524F9"/>
    <w:rsid w:val="0090241F"/>
    <w:rsid w:val="00943FDA"/>
    <w:rsid w:val="00953070"/>
    <w:rsid w:val="00A245F2"/>
    <w:rsid w:val="00A41A63"/>
    <w:rsid w:val="00A70126"/>
    <w:rsid w:val="00A80CA3"/>
    <w:rsid w:val="00AB3EE5"/>
    <w:rsid w:val="00B049DF"/>
    <w:rsid w:val="00BC6009"/>
    <w:rsid w:val="00BE3C00"/>
    <w:rsid w:val="00BE6D37"/>
    <w:rsid w:val="00C01378"/>
    <w:rsid w:val="00C32B5B"/>
    <w:rsid w:val="00C77559"/>
    <w:rsid w:val="00CD245D"/>
    <w:rsid w:val="00D80B9E"/>
    <w:rsid w:val="00D87AC6"/>
    <w:rsid w:val="00DE5DC6"/>
    <w:rsid w:val="00E04DEF"/>
    <w:rsid w:val="00E45627"/>
    <w:rsid w:val="00FB136C"/>
    <w:rsid w:val="00FD74BC"/>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3F9F7"/>
  <w15:chartTrackingRefBased/>
  <w15:docId w15:val="{8B28AA45-A4B8-4FAA-8D41-5D225CF52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E6D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777848">
      <w:bodyDiv w:val="1"/>
      <w:marLeft w:val="0"/>
      <w:marRight w:val="0"/>
      <w:marTop w:val="0"/>
      <w:marBottom w:val="0"/>
      <w:divBdr>
        <w:top w:val="none" w:sz="0" w:space="0" w:color="auto"/>
        <w:left w:val="none" w:sz="0" w:space="0" w:color="auto"/>
        <w:bottom w:val="none" w:sz="0" w:space="0" w:color="auto"/>
        <w:right w:val="none" w:sz="0" w:space="0" w:color="auto"/>
      </w:divBdr>
    </w:div>
    <w:div w:id="264657766">
      <w:bodyDiv w:val="1"/>
      <w:marLeft w:val="0"/>
      <w:marRight w:val="0"/>
      <w:marTop w:val="0"/>
      <w:marBottom w:val="0"/>
      <w:divBdr>
        <w:top w:val="none" w:sz="0" w:space="0" w:color="auto"/>
        <w:left w:val="none" w:sz="0" w:space="0" w:color="auto"/>
        <w:bottom w:val="none" w:sz="0" w:space="0" w:color="auto"/>
        <w:right w:val="none" w:sz="0" w:space="0" w:color="auto"/>
      </w:divBdr>
    </w:div>
    <w:div w:id="391777121">
      <w:bodyDiv w:val="1"/>
      <w:marLeft w:val="0"/>
      <w:marRight w:val="0"/>
      <w:marTop w:val="0"/>
      <w:marBottom w:val="0"/>
      <w:divBdr>
        <w:top w:val="none" w:sz="0" w:space="0" w:color="auto"/>
        <w:left w:val="none" w:sz="0" w:space="0" w:color="auto"/>
        <w:bottom w:val="none" w:sz="0" w:space="0" w:color="auto"/>
        <w:right w:val="none" w:sz="0" w:space="0" w:color="auto"/>
      </w:divBdr>
      <w:divsChild>
        <w:div w:id="4802738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36797626">
      <w:bodyDiv w:val="1"/>
      <w:marLeft w:val="0"/>
      <w:marRight w:val="0"/>
      <w:marTop w:val="0"/>
      <w:marBottom w:val="0"/>
      <w:divBdr>
        <w:top w:val="none" w:sz="0" w:space="0" w:color="auto"/>
        <w:left w:val="none" w:sz="0" w:space="0" w:color="auto"/>
        <w:bottom w:val="none" w:sz="0" w:space="0" w:color="auto"/>
        <w:right w:val="none" w:sz="0" w:space="0" w:color="auto"/>
      </w:divBdr>
    </w:div>
    <w:div w:id="761419472">
      <w:bodyDiv w:val="1"/>
      <w:marLeft w:val="0"/>
      <w:marRight w:val="0"/>
      <w:marTop w:val="0"/>
      <w:marBottom w:val="0"/>
      <w:divBdr>
        <w:top w:val="none" w:sz="0" w:space="0" w:color="auto"/>
        <w:left w:val="none" w:sz="0" w:space="0" w:color="auto"/>
        <w:bottom w:val="none" w:sz="0" w:space="0" w:color="auto"/>
        <w:right w:val="none" w:sz="0" w:space="0" w:color="auto"/>
      </w:divBdr>
      <w:divsChild>
        <w:div w:id="1291856877">
          <w:marLeft w:val="0"/>
          <w:marRight w:val="0"/>
          <w:marTop w:val="0"/>
          <w:marBottom w:val="0"/>
          <w:divBdr>
            <w:top w:val="none" w:sz="0" w:space="0" w:color="auto"/>
            <w:left w:val="none" w:sz="0" w:space="0" w:color="auto"/>
            <w:bottom w:val="none" w:sz="0" w:space="0" w:color="auto"/>
            <w:right w:val="none" w:sz="0" w:space="0" w:color="auto"/>
          </w:divBdr>
          <w:divsChild>
            <w:div w:id="1779446402">
              <w:marLeft w:val="0"/>
              <w:marRight w:val="0"/>
              <w:marTop w:val="0"/>
              <w:marBottom w:val="0"/>
              <w:divBdr>
                <w:top w:val="none" w:sz="0" w:space="0" w:color="auto"/>
                <w:left w:val="none" w:sz="0" w:space="0" w:color="auto"/>
                <w:bottom w:val="none" w:sz="0" w:space="0" w:color="auto"/>
                <w:right w:val="none" w:sz="0" w:space="0" w:color="auto"/>
              </w:divBdr>
              <w:divsChild>
                <w:div w:id="1760641985">
                  <w:marLeft w:val="0"/>
                  <w:marRight w:val="0"/>
                  <w:marTop w:val="0"/>
                  <w:marBottom w:val="0"/>
                  <w:divBdr>
                    <w:top w:val="none" w:sz="0" w:space="0" w:color="auto"/>
                    <w:left w:val="none" w:sz="0" w:space="0" w:color="auto"/>
                    <w:bottom w:val="none" w:sz="0" w:space="0" w:color="auto"/>
                    <w:right w:val="none" w:sz="0" w:space="0" w:color="auto"/>
                  </w:divBdr>
                  <w:divsChild>
                    <w:div w:id="385297580">
                      <w:marLeft w:val="0"/>
                      <w:marRight w:val="0"/>
                      <w:marTop w:val="0"/>
                      <w:marBottom w:val="0"/>
                      <w:divBdr>
                        <w:top w:val="none" w:sz="0" w:space="0" w:color="auto"/>
                        <w:left w:val="none" w:sz="0" w:space="0" w:color="auto"/>
                        <w:bottom w:val="none" w:sz="0" w:space="0" w:color="auto"/>
                        <w:right w:val="none" w:sz="0" w:space="0" w:color="auto"/>
                      </w:divBdr>
                      <w:divsChild>
                        <w:div w:id="382102286">
                          <w:marLeft w:val="0"/>
                          <w:marRight w:val="0"/>
                          <w:marTop w:val="0"/>
                          <w:marBottom w:val="0"/>
                          <w:divBdr>
                            <w:top w:val="none" w:sz="0" w:space="0" w:color="auto"/>
                            <w:left w:val="none" w:sz="0" w:space="0" w:color="auto"/>
                            <w:bottom w:val="none" w:sz="0" w:space="0" w:color="auto"/>
                            <w:right w:val="none" w:sz="0" w:space="0" w:color="auto"/>
                          </w:divBdr>
                          <w:divsChild>
                            <w:div w:id="1438255559">
                              <w:marLeft w:val="0"/>
                              <w:marRight w:val="0"/>
                              <w:marTop w:val="0"/>
                              <w:marBottom w:val="0"/>
                              <w:divBdr>
                                <w:top w:val="none" w:sz="0" w:space="0" w:color="auto"/>
                                <w:left w:val="none" w:sz="0" w:space="0" w:color="auto"/>
                                <w:bottom w:val="none" w:sz="0" w:space="0" w:color="auto"/>
                                <w:right w:val="none" w:sz="0" w:space="0" w:color="auto"/>
                              </w:divBdr>
                              <w:divsChild>
                                <w:div w:id="1065646774">
                                  <w:marLeft w:val="0"/>
                                  <w:marRight w:val="0"/>
                                  <w:marTop w:val="0"/>
                                  <w:marBottom w:val="0"/>
                                  <w:divBdr>
                                    <w:top w:val="none" w:sz="0" w:space="0" w:color="auto"/>
                                    <w:left w:val="none" w:sz="0" w:space="0" w:color="auto"/>
                                    <w:bottom w:val="none" w:sz="0" w:space="0" w:color="auto"/>
                                    <w:right w:val="none" w:sz="0" w:space="0" w:color="auto"/>
                                  </w:divBdr>
                                  <w:divsChild>
                                    <w:div w:id="249972102">
                                      <w:marLeft w:val="0"/>
                                      <w:marRight w:val="0"/>
                                      <w:marTop w:val="0"/>
                                      <w:marBottom w:val="0"/>
                                      <w:divBdr>
                                        <w:top w:val="none" w:sz="0" w:space="0" w:color="auto"/>
                                        <w:left w:val="none" w:sz="0" w:space="0" w:color="auto"/>
                                        <w:bottom w:val="none" w:sz="0" w:space="0" w:color="auto"/>
                                        <w:right w:val="none" w:sz="0" w:space="0" w:color="auto"/>
                                      </w:divBdr>
                                      <w:divsChild>
                                        <w:div w:id="372776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77648026">
              <w:marLeft w:val="0"/>
              <w:marRight w:val="0"/>
              <w:marTop w:val="0"/>
              <w:marBottom w:val="0"/>
              <w:divBdr>
                <w:top w:val="none" w:sz="0" w:space="0" w:color="auto"/>
                <w:left w:val="none" w:sz="0" w:space="0" w:color="auto"/>
                <w:bottom w:val="none" w:sz="0" w:space="0" w:color="auto"/>
                <w:right w:val="none" w:sz="0" w:space="0" w:color="auto"/>
              </w:divBdr>
              <w:divsChild>
                <w:div w:id="2076706560">
                  <w:marLeft w:val="0"/>
                  <w:marRight w:val="0"/>
                  <w:marTop w:val="0"/>
                  <w:marBottom w:val="0"/>
                  <w:divBdr>
                    <w:top w:val="none" w:sz="0" w:space="0" w:color="auto"/>
                    <w:left w:val="none" w:sz="0" w:space="0" w:color="auto"/>
                    <w:bottom w:val="none" w:sz="0" w:space="0" w:color="auto"/>
                    <w:right w:val="none" w:sz="0" w:space="0" w:color="auto"/>
                  </w:divBdr>
                  <w:divsChild>
                    <w:div w:id="1015573495">
                      <w:marLeft w:val="0"/>
                      <w:marRight w:val="0"/>
                      <w:marTop w:val="0"/>
                      <w:marBottom w:val="0"/>
                      <w:divBdr>
                        <w:top w:val="none" w:sz="0" w:space="0" w:color="auto"/>
                        <w:left w:val="none" w:sz="0" w:space="0" w:color="auto"/>
                        <w:bottom w:val="none" w:sz="0" w:space="0" w:color="auto"/>
                        <w:right w:val="none" w:sz="0" w:space="0" w:color="auto"/>
                      </w:divBdr>
                      <w:divsChild>
                        <w:div w:id="292252257">
                          <w:marLeft w:val="0"/>
                          <w:marRight w:val="0"/>
                          <w:marTop w:val="0"/>
                          <w:marBottom w:val="0"/>
                          <w:divBdr>
                            <w:top w:val="none" w:sz="0" w:space="0" w:color="auto"/>
                            <w:left w:val="none" w:sz="0" w:space="0" w:color="auto"/>
                            <w:bottom w:val="none" w:sz="0" w:space="0" w:color="auto"/>
                            <w:right w:val="none" w:sz="0" w:space="0" w:color="auto"/>
                          </w:divBdr>
                          <w:divsChild>
                            <w:div w:id="837229614">
                              <w:marLeft w:val="0"/>
                              <w:marRight w:val="0"/>
                              <w:marTop w:val="0"/>
                              <w:marBottom w:val="0"/>
                              <w:divBdr>
                                <w:top w:val="none" w:sz="0" w:space="0" w:color="auto"/>
                                <w:left w:val="none" w:sz="0" w:space="0" w:color="auto"/>
                                <w:bottom w:val="none" w:sz="0" w:space="0" w:color="auto"/>
                                <w:right w:val="none" w:sz="0" w:space="0" w:color="auto"/>
                              </w:divBdr>
                              <w:divsChild>
                                <w:div w:id="929313597">
                                  <w:marLeft w:val="0"/>
                                  <w:marRight w:val="0"/>
                                  <w:marTop w:val="0"/>
                                  <w:marBottom w:val="0"/>
                                  <w:divBdr>
                                    <w:top w:val="none" w:sz="0" w:space="0" w:color="auto"/>
                                    <w:left w:val="none" w:sz="0" w:space="0" w:color="auto"/>
                                    <w:bottom w:val="none" w:sz="0" w:space="0" w:color="auto"/>
                                    <w:right w:val="none" w:sz="0" w:space="0" w:color="auto"/>
                                  </w:divBdr>
                                  <w:divsChild>
                                    <w:div w:id="1967003357">
                                      <w:marLeft w:val="0"/>
                                      <w:marRight w:val="0"/>
                                      <w:marTop w:val="0"/>
                                      <w:marBottom w:val="0"/>
                                      <w:divBdr>
                                        <w:top w:val="none" w:sz="0" w:space="0" w:color="auto"/>
                                        <w:left w:val="none" w:sz="0" w:space="0" w:color="auto"/>
                                        <w:bottom w:val="none" w:sz="0" w:space="0" w:color="auto"/>
                                        <w:right w:val="none" w:sz="0" w:space="0" w:color="auto"/>
                                      </w:divBdr>
                                      <w:divsChild>
                                        <w:div w:id="1592198457">
                                          <w:marLeft w:val="0"/>
                                          <w:marRight w:val="0"/>
                                          <w:marTop w:val="0"/>
                                          <w:marBottom w:val="0"/>
                                          <w:divBdr>
                                            <w:top w:val="none" w:sz="0" w:space="0" w:color="auto"/>
                                            <w:left w:val="none" w:sz="0" w:space="0" w:color="auto"/>
                                            <w:bottom w:val="none" w:sz="0" w:space="0" w:color="auto"/>
                                            <w:right w:val="none" w:sz="0" w:space="0" w:color="auto"/>
                                          </w:divBdr>
                                          <w:divsChild>
                                            <w:div w:id="1572472054">
                                              <w:marLeft w:val="0"/>
                                              <w:marRight w:val="0"/>
                                              <w:marTop w:val="0"/>
                                              <w:marBottom w:val="0"/>
                                              <w:divBdr>
                                                <w:top w:val="none" w:sz="0" w:space="0" w:color="auto"/>
                                                <w:left w:val="none" w:sz="0" w:space="0" w:color="auto"/>
                                                <w:bottom w:val="none" w:sz="0" w:space="0" w:color="auto"/>
                                                <w:right w:val="none" w:sz="0" w:space="0" w:color="auto"/>
                                              </w:divBdr>
                                              <w:divsChild>
                                                <w:div w:id="765226231">
                                                  <w:marLeft w:val="0"/>
                                                  <w:marRight w:val="0"/>
                                                  <w:marTop w:val="0"/>
                                                  <w:marBottom w:val="0"/>
                                                  <w:divBdr>
                                                    <w:top w:val="none" w:sz="0" w:space="0" w:color="auto"/>
                                                    <w:left w:val="none" w:sz="0" w:space="0" w:color="auto"/>
                                                    <w:bottom w:val="none" w:sz="0" w:space="0" w:color="auto"/>
                                                    <w:right w:val="none" w:sz="0" w:space="0" w:color="auto"/>
                                                  </w:divBdr>
                                                  <w:divsChild>
                                                    <w:div w:id="643505445">
                                                      <w:marLeft w:val="0"/>
                                                      <w:marRight w:val="0"/>
                                                      <w:marTop w:val="0"/>
                                                      <w:marBottom w:val="0"/>
                                                      <w:divBdr>
                                                        <w:top w:val="none" w:sz="0" w:space="0" w:color="auto"/>
                                                        <w:left w:val="none" w:sz="0" w:space="0" w:color="auto"/>
                                                        <w:bottom w:val="none" w:sz="0" w:space="0" w:color="auto"/>
                                                        <w:right w:val="none" w:sz="0" w:space="0" w:color="auto"/>
                                                      </w:divBdr>
                                                      <w:divsChild>
                                                        <w:div w:id="732509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9651723">
              <w:marLeft w:val="0"/>
              <w:marRight w:val="0"/>
              <w:marTop w:val="0"/>
              <w:marBottom w:val="0"/>
              <w:divBdr>
                <w:top w:val="none" w:sz="0" w:space="0" w:color="auto"/>
                <w:left w:val="none" w:sz="0" w:space="0" w:color="auto"/>
                <w:bottom w:val="none" w:sz="0" w:space="0" w:color="auto"/>
                <w:right w:val="none" w:sz="0" w:space="0" w:color="auto"/>
              </w:divBdr>
              <w:divsChild>
                <w:div w:id="1214737075">
                  <w:marLeft w:val="0"/>
                  <w:marRight w:val="0"/>
                  <w:marTop w:val="0"/>
                  <w:marBottom w:val="0"/>
                  <w:divBdr>
                    <w:top w:val="none" w:sz="0" w:space="0" w:color="auto"/>
                    <w:left w:val="none" w:sz="0" w:space="0" w:color="auto"/>
                    <w:bottom w:val="none" w:sz="0" w:space="0" w:color="auto"/>
                    <w:right w:val="none" w:sz="0" w:space="0" w:color="auto"/>
                  </w:divBdr>
                  <w:divsChild>
                    <w:div w:id="773087204">
                      <w:marLeft w:val="0"/>
                      <w:marRight w:val="0"/>
                      <w:marTop w:val="0"/>
                      <w:marBottom w:val="0"/>
                      <w:divBdr>
                        <w:top w:val="none" w:sz="0" w:space="0" w:color="auto"/>
                        <w:left w:val="none" w:sz="0" w:space="0" w:color="auto"/>
                        <w:bottom w:val="none" w:sz="0" w:space="0" w:color="auto"/>
                        <w:right w:val="none" w:sz="0" w:space="0" w:color="auto"/>
                      </w:divBdr>
                      <w:divsChild>
                        <w:div w:id="942958750">
                          <w:marLeft w:val="0"/>
                          <w:marRight w:val="0"/>
                          <w:marTop w:val="0"/>
                          <w:marBottom w:val="0"/>
                          <w:divBdr>
                            <w:top w:val="none" w:sz="0" w:space="0" w:color="auto"/>
                            <w:left w:val="none" w:sz="0" w:space="0" w:color="auto"/>
                            <w:bottom w:val="none" w:sz="0" w:space="0" w:color="auto"/>
                            <w:right w:val="none" w:sz="0" w:space="0" w:color="auto"/>
                          </w:divBdr>
                          <w:divsChild>
                            <w:div w:id="271210400">
                              <w:marLeft w:val="0"/>
                              <w:marRight w:val="0"/>
                              <w:marTop w:val="0"/>
                              <w:marBottom w:val="0"/>
                              <w:divBdr>
                                <w:top w:val="none" w:sz="0" w:space="0" w:color="auto"/>
                                <w:left w:val="none" w:sz="0" w:space="0" w:color="auto"/>
                                <w:bottom w:val="none" w:sz="0" w:space="0" w:color="auto"/>
                                <w:right w:val="none" w:sz="0" w:space="0" w:color="auto"/>
                              </w:divBdr>
                              <w:divsChild>
                                <w:div w:id="370882724">
                                  <w:marLeft w:val="0"/>
                                  <w:marRight w:val="0"/>
                                  <w:marTop w:val="0"/>
                                  <w:marBottom w:val="0"/>
                                  <w:divBdr>
                                    <w:top w:val="none" w:sz="0" w:space="0" w:color="auto"/>
                                    <w:left w:val="none" w:sz="0" w:space="0" w:color="auto"/>
                                    <w:bottom w:val="none" w:sz="0" w:space="0" w:color="auto"/>
                                    <w:right w:val="none" w:sz="0" w:space="0" w:color="auto"/>
                                  </w:divBdr>
                                  <w:divsChild>
                                    <w:div w:id="2067948975">
                                      <w:marLeft w:val="0"/>
                                      <w:marRight w:val="0"/>
                                      <w:marTop w:val="0"/>
                                      <w:marBottom w:val="0"/>
                                      <w:divBdr>
                                        <w:top w:val="none" w:sz="0" w:space="0" w:color="auto"/>
                                        <w:left w:val="none" w:sz="0" w:space="0" w:color="auto"/>
                                        <w:bottom w:val="none" w:sz="0" w:space="0" w:color="auto"/>
                                        <w:right w:val="none" w:sz="0" w:space="0" w:color="auto"/>
                                      </w:divBdr>
                                      <w:divsChild>
                                        <w:div w:id="996617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60848056">
              <w:marLeft w:val="0"/>
              <w:marRight w:val="0"/>
              <w:marTop w:val="0"/>
              <w:marBottom w:val="0"/>
              <w:divBdr>
                <w:top w:val="none" w:sz="0" w:space="0" w:color="auto"/>
                <w:left w:val="none" w:sz="0" w:space="0" w:color="auto"/>
                <w:bottom w:val="none" w:sz="0" w:space="0" w:color="auto"/>
                <w:right w:val="none" w:sz="0" w:space="0" w:color="auto"/>
              </w:divBdr>
              <w:divsChild>
                <w:div w:id="825707291">
                  <w:marLeft w:val="0"/>
                  <w:marRight w:val="0"/>
                  <w:marTop w:val="0"/>
                  <w:marBottom w:val="0"/>
                  <w:divBdr>
                    <w:top w:val="none" w:sz="0" w:space="0" w:color="auto"/>
                    <w:left w:val="none" w:sz="0" w:space="0" w:color="auto"/>
                    <w:bottom w:val="none" w:sz="0" w:space="0" w:color="auto"/>
                    <w:right w:val="none" w:sz="0" w:space="0" w:color="auto"/>
                  </w:divBdr>
                  <w:divsChild>
                    <w:div w:id="1389762836">
                      <w:marLeft w:val="0"/>
                      <w:marRight w:val="0"/>
                      <w:marTop w:val="0"/>
                      <w:marBottom w:val="0"/>
                      <w:divBdr>
                        <w:top w:val="none" w:sz="0" w:space="0" w:color="auto"/>
                        <w:left w:val="none" w:sz="0" w:space="0" w:color="auto"/>
                        <w:bottom w:val="none" w:sz="0" w:space="0" w:color="auto"/>
                        <w:right w:val="none" w:sz="0" w:space="0" w:color="auto"/>
                      </w:divBdr>
                      <w:divsChild>
                        <w:div w:id="996762867">
                          <w:marLeft w:val="0"/>
                          <w:marRight w:val="0"/>
                          <w:marTop w:val="0"/>
                          <w:marBottom w:val="0"/>
                          <w:divBdr>
                            <w:top w:val="none" w:sz="0" w:space="0" w:color="auto"/>
                            <w:left w:val="none" w:sz="0" w:space="0" w:color="auto"/>
                            <w:bottom w:val="none" w:sz="0" w:space="0" w:color="auto"/>
                            <w:right w:val="none" w:sz="0" w:space="0" w:color="auto"/>
                          </w:divBdr>
                          <w:divsChild>
                            <w:div w:id="1498032569">
                              <w:marLeft w:val="0"/>
                              <w:marRight w:val="0"/>
                              <w:marTop w:val="0"/>
                              <w:marBottom w:val="0"/>
                              <w:divBdr>
                                <w:top w:val="none" w:sz="0" w:space="0" w:color="auto"/>
                                <w:left w:val="none" w:sz="0" w:space="0" w:color="auto"/>
                                <w:bottom w:val="none" w:sz="0" w:space="0" w:color="auto"/>
                                <w:right w:val="none" w:sz="0" w:space="0" w:color="auto"/>
                              </w:divBdr>
                              <w:divsChild>
                                <w:div w:id="4946651">
                                  <w:marLeft w:val="0"/>
                                  <w:marRight w:val="0"/>
                                  <w:marTop w:val="0"/>
                                  <w:marBottom w:val="0"/>
                                  <w:divBdr>
                                    <w:top w:val="none" w:sz="0" w:space="0" w:color="auto"/>
                                    <w:left w:val="none" w:sz="0" w:space="0" w:color="auto"/>
                                    <w:bottom w:val="none" w:sz="0" w:space="0" w:color="auto"/>
                                    <w:right w:val="none" w:sz="0" w:space="0" w:color="auto"/>
                                  </w:divBdr>
                                  <w:divsChild>
                                    <w:div w:id="1870072329">
                                      <w:marLeft w:val="0"/>
                                      <w:marRight w:val="0"/>
                                      <w:marTop w:val="0"/>
                                      <w:marBottom w:val="0"/>
                                      <w:divBdr>
                                        <w:top w:val="none" w:sz="0" w:space="0" w:color="auto"/>
                                        <w:left w:val="none" w:sz="0" w:space="0" w:color="auto"/>
                                        <w:bottom w:val="none" w:sz="0" w:space="0" w:color="auto"/>
                                        <w:right w:val="none" w:sz="0" w:space="0" w:color="auto"/>
                                      </w:divBdr>
                                      <w:divsChild>
                                        <w:div w:id="1774782434">
                                          <w:marLeft w:val="0"/>
                                          <w:marRight w:val="0"/>
                                          <w:marTop w:val="0"/>
                                          <w:marBottom w:val="0"/>
                                          <w:divBdr>
                                            <w:top w:val="none" w:sz="0" w:space="0" w:color="auto"/>
                                            <w:left w:val="none" w:sz="0" w:space="0" w:color="auto"/>
                                            <w:bottom w:val="none" w:sz="0" w:space="0" w:color="auto"/>
                                            <w:right w:val="none" w:sz="0" w:space="0" w:color="auto"/>
                                          </w:divBdr>
                                          <w:divsChild>
                                            <w:div w:id="1152872485">
                                              <w:marLeft w:val="0"/>
                                              <w:marRight w:val="0"/>
                                              <w:marTop w:val="0"/>
                                              <w:marBottom w:val="0"/>
                                              <w:divBdr>
                                                <w:top w:val="none" w:sz="0" w:space="0" w:color="auto"/>
                                                <w:left w:val="none" w:sz="0" w:space="0" w:color="auto"/>
                                                <w:bottom w:val="none" w:sz="0" w:space="0" w:color="auto"/>
                                                <w:right w:val="none" w:sz="0" w:space="0" w:color="auto"/>
                                              </w:divBdr>
                                              <w:divsChild>
                                                <w:div w:id="402215827">
                                                  <w:marLeft w:val="0"/>
                                                  <w:marRight w:val="0"/>
                                                  <w:marTop w:val="0"/>
                                                  <w:marBottom w:val="0"/>
                                                  <w:divBdr>
                                                    <w:top w:val="none" w:sz="0" w:space="0" w:color="auto"/>
                                                    <w:left w:val="none" w:sz="0" w:space="0" w:color="auto"/>
                                                    <w:bottom w:val="none" w:sz="0" w:space="0" w:color="auto"/>
                                                    <w:right w:val="none" w:sz="0" w:space="0" w:color="auto"/>
                                                  </w:divBdr>
                                                  <w:divsChild>
                                                    <w:div w:id="470830273">
                                                      <w:marLeft w:val="0"/>
                                                      <w:marRight w:val="0"/>
                                                      <w:marTop w:val="0"/>
                                                      <w:marBottom w:val="0"/>
                                                      <w:divBdr>
                                                        <w:top w:val="none" w:sz="0" w:space="0" w:color="auto"/>
                                                        <w:left w:val="none" w:sz="0" w:space="0" w:color="auto"/>
                                                        <w:bottom w:val="none" w:sz="0" w:space="0" w:color="auto"/>
                                                        <w:right w:val="none" w:sz="0" w:space="0" w:color="auto"/>
                                                      </w:divBdr>
                                                      <w:divsChild>
                                                        <w:div w:id="179093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3104558">
              <w:marLeft w:val="0"/>
              <w:marRight w:val="0"/>
              <w:marTop w:val="0"/>
              <w:marBottom w:val="0"/>
              <w:divBdr>
                <w:top w:val="none" w:sz="0" w:space="0" w:color="auto"/>
                <w:left w:val="none" w:sz="0" w:space="0" w:color="auto"/>
                <w:bottom w:val="none" w:sz="0" w:space="0" w:color="auto"/>
                <w:right w:val="none" w:sz="0" w:space="0" w:color="auto"/>
              </w:divBdr>
              <w:divsChild>
                <w:div w:id="1076394611">
                  <w:marLeft w:val="0"/>
                  <w:marRight w:val="0"/>
                  <w:marTop w:val="0"/>
                  <w:marBottom w:val="0"/>
                  <w:divBdr>
                    <w:top w:val="none" w:sz="0" w:space="0" w:color="auto"/>
                    <w:left w:val="none" w:sz="0" w:space="0" w:color="auto"/>
                    <w:bottom w:val="none" w:sz="0" w:space="0" w:color="auto"/>
                    <w:right w:val="none" w:sz="0" w:space="0" w:color="auto"/>
                  </w:divBdr>
                  <w:divsChild>
                    <w:div w:id="2095742619">
                      <w:marLeft w:val="0"/>
                      <w:marRight w:val="0"/>
                      <w:marTop w:val="0"/>
                      <w:marBottom w:val="0"/>
                      <w:divBdr>
                        <w:top w:val="none" w:sz="0" w:space="0" w:color="auto"/>
                        <w:left w:val="none" w:sz="0" w:space="0" w:color="auto"/>
                        <w:bottom w:val="none" w:sz="0" w:space="0" w:color="auto"/>
                        <w:right w:val="none" w:sz="0" w:space="0" w:color="auto"/>
                      </w:divBdr>
                      <w:divsChild>
                        <w:div w:id="18046562">
                          <w:marLeft w:val="0"/>
                          <w:marRight w:val="0"/>
                          <w:marTop w:val="0"/>
                          <w:marBottom w:val="0"/>
                          <w:divBdr>
                            <w:top w:val="none" w:sz="0" w:space="0" w:color="auto"/>
                            <w:left w:val="none" w:sz="0" w:space="0" w:color="auto"/>
                            <w:bottom w:val="none" w:sz="0" w:space="0" w:color="auto"/>
                            <w:right w:val="none" w:sz="0" w:space="0" w:color="auto"/>
                          </w:divBdr>
                          <w:divsChild>
                            <w:div w:id="696857473">
                              <w:marLeft w:val="0"/>
                              <w:marRight w:val="0"/>
                              <w:marTop w:val="0"/>
                              <w:marBottom w:val="0"/>
                              <w:divBdr>
                                <w:top w:val="none" w:sz="0" w:space="0" w:color="auto"/>
                                <w:left w:val="none" w:sz="0" w:space="0" w:color="auto"/>
                                <w:bottom w:val="none" w:sz="0" w:space="0" w:color="auto"/>
                                <w:right w:val="none" w:sz="0" w:space="0" w:color="auto"/>
                              </w:divBdr>
                              <w:divsChild>
                                <w:div w:id="1472094603">
                                  <w:marLeft w:val="0"/>
                                  <w:marRight w:val="0"/>
                                  <w:marTop w:val="0"/>
                                  <w:marBottom w:val="0"/>
                                  <w:divBdr>
                                    <w:top w:val="none" w:sz="0" w:space="0" w:color="auto"/>
                                    <w:left w:val="none" w:sz="0" w:space="0" w:color="auto"/>
                                    <w:bottom w:val="none" w:sz="0" w:space="0" w:color="auto"/>
                                    <w:right w:val="none" w:sz="0" w:space="0" w:color="auto"/>
                                  </w:divBdr>
                                  <w:divsChild>
                                    <w:div w:id="1466309579">
                                      <w:marLeft w:val="0"/>
                                      <w:marRight w:val="0"/>
                                      <w:marTop w:val="0"/>
                                      <w:marBottom w:val="0"/>
                                      <w:divBdr>
                                        <w:top w:val="none" w:sz="0" w:space="0" w:color="auto"/>
                                        <w:left w:val="none" w:sz="0" w:space="0" w:color="auto"/>
                                        <w:bottom w:val="none" w:sz="0" w:space="0" w:color="auto"/>
                                        <w:right w:val="none" w:sz="0" w:space="0" w:color="auto"/>
                                      </w:divBdr>
                                      <w:divsChild>
                                        <w:div w:id="1652521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39091163">
      <w:bodyDiv w:val="1"/>
      <w:marLeft w:val="0"/>
      <w:marRight w:val="0"/>
      <w:marTop w:val="0"/>
      <w:marBottom w:val="0"/>
      <w:divBdr>
        <w:top w:val="none" w:sz="0" w:space="0" w:color="auto"/>
        <w:left w:val="none" w:sz="0" w:space="0" w:color="auto"/>
        <w:bottom w:val="none" w:sz="0" w:space="0" w:color="auto"/>
        <w:right w:val="none" w:sz="0" w:space="0" w:color="auto"/>
      </w:divBdr>
    </w:div>
    <w:div w:id="1241021432">
      <w:bodyDiv w:val="1"/>
      <w:marLeft w:val="0"/>
      <w:marRight w:val="0"/>
      <w:marTop w:val="0"/>
      <w:marBottom w:val="0"/>
      <w:divBdr>
        <w:top w:val="none" w:sz="0" w:space="0" w:color="auto"/>
        <w:left w:val="none" w:sz="0" w:space="0" w:color="auto"/>
        <w:bottom w:val="none" w:sz="0" w:space="0" w:color="auto"/>
        <w:right w:val="none" w:sz="0" w:space="0" w:color="auto"/>
      </w:divBdr>
    </w:div>
    <w:div w:id="1453938334">
      <w:bodyDiv w:val="1"/>
      <w:marLeft w:val="0"/>
      <w:marRight w:val="0"/>
      <w:marTop w:val="0"/>
      <w:marBottom w:val="0"/>
      <w:divBdr>
        <w:top w:val="none" w:sz="0" w:space="0" w:color="auto"/>
        <w:left w:val="none" w:sz="0" w:space="0" w:color="auto"/>
        <w:bottom w:val="none" w:sz="0" w:space="0" w:color="auto"/>
        <w:right w:val="none" w:sz="0" w:space="0" w:color="auto"/>
      </w:divBdr>
    </w:div>
    <w:div w:id="1466314767">
      <w:bodyDiv w:val="1"/>
      <w:marLeft w:val="0"/>
      <w:marRight w:val="0"/>
      <w:marTop w:val="0"/>
      <w:marBottom w:val="0"/>
      <w:divBdr>
        <w:top w:val="none" w:sz="0" w:space="0" w:color="auto"/>
        <w:left w:val="none" w:sz="0" w:space="0" w:color="auto"/>
        <w:bottom w:val="none" w:sz="0" w:space="0" w:color="auto"/>
        <w:right w:val="none" w:sz="0" w:space="0" w:color="auto"/>
      </w:divBdr>
    </w:div>
    <w:div w:id="1825849990">
      <w:bodyDiv w:val="1"/>
      <w:marLeft w:val="0"/>
      <w:marRight w:val="0"/>
      <w:marTop w:val="0"/>
      <w:marBottom w:val="0"/>
      <w:divBdr>
        <w:top w:val="none" w:sz="0" w:space="0" w:color="auto"/>
        <w:left w:val="none" w:sz="0" w:space="0" w:color="auto"/>
        <w:bottom w:val="none" w:sz="0" w:space="0" w:color="auto"/>
        <w:right w:val="none" w:sz="0" w:space="0" w:color="auto"/>
      </w:divBdr>
    </w:div>
    <w:div w:id="1959483444">
      <w:bodyDiv w:val="1"/>
      <w:marLeft w:val="0"/>
      <w:marRight w:val="0"/>
      <w:marTop w:val="0"/>
      <w:marBottom w:val="0"/>
      <w:divBdr>
        <w:top w:val="none" w:sz="0" w:space="0" w:color="auto"/>
        <w:left w:val="none" w:sz="0" w:space="0" w:color="auto"/>
        <w:bottom w:val="none" w:sz="0" w:space="0" w:color="auto"/>
        <w:right w:val="none" w:sz="0" w:space="0" w:color="auto"/>
      </w:divBdr>
    </w:div>
    <w:div w:id="1986467497">
      <w:bodyDiv w:val="1"/>
      <w:marLeft w:val="0"/>
      <w:marRight w:val="0"/>
      <w:marTop w:val="0"/>
      <w:marBottom w:val="0"/>
      <w:divBdr>
        <w:top w:val="none" w:sz="0" w:space="0" w:color="auto"/>
        <w:left w:val="none" w:sz="0" w:space="0" w:color="auto"/>
        <w:bottom w:val="none" w:sz="0" w:space="0" w:color="auto"/>
        <w:right w:val="none" w:sz="0" w:space="0" w:color="auto"/>
      </w:divBdr>
    </w:div>
    <w:div w:id="2112777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35</Pages>
  <Words>8620</Words>
  <Characters>47411</Characters>
  <Application>Microsoft Office Word</Application>
  <DocSecurity>0</DocSecurity>
  <Lines>395</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Rosenberg</dc:creator>
  <cp:keywords/>
  <dc:description/>
  <cp:lastModifiedBy>Eric Rosenberg</cp:lastModifiedBy>
  <cp:revision>10</cp:revision>
  <dcterms:created xsi:type="dcterms:W3CDTF">2026-05-20T16:28:00Z</dcterms:created>
  <dcterms:modified xsi:type="dcterms:W3CDTF">2026-05-21T21:00:00Z</dcterms:modified>
</cp:coreProperties>
</file>